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BE7" w:rsidRPr="00D45B8C" w:rsidRDefault="008E0BE7" w:rsidP="008E0BE7">
      <w:pPr>
        <w:pStyle w:val="Default"/>
        <w:jc w:val="center"/>
        <w:rPr>
          <w:rFonts w:asciiTheme="minorHAnsi" w:hAnsiTheme="minorHAnsi" w:cstheme="minorHAnsi"/>
          <w:caps/>
          <w:sz w:val="22"/>
          <w:szCs w:val="22"/>
        </w:rPr>
      </w:pPr>
      <w:bookmarkStart w:id="0" w:name="_GoBack"/>
      <w:bookmarkEnd w:id="0"/>
      <w:r w:rsidRPr="00D45B8C">
        <w:rPr>
          <w:rFonts w:asciiTheme="minorHAnsi" w:hAnsiTheme="minorHAnsi" w:cstheme="minorHAnsi"/>
          <w:b/>
          <w:bCs/>
          <w:caps/>
          <w:sz w:val="22"/>
          <w:szCs w:val="22"/>
        </w:rPr>
        <w:t>University of Baltimore School of Law</w:t>
      </w:r>
    </w:p>
    <w:p w:rsidR="008E0BE7" w:rsidRPr="00D45B8C" w:rsidRDefault="00BD2C34" w:rsidP="008E0BE7">
      <w:pPr>
        <w:pStyle w:val="Default"/>
        <w:jc w:val="center"/>
        <w:rPr>
          <w:rFonts w:asciiTheme="minorHAnsi" w:hAnsiTheme="minorHAnsi" w:cstheme="minorHAnsi"/>
          <w:b/>
          <w:bCs/>
          <w:caps/>
          <w:sz w:val="22"/>
          <w:szCs w:val="22"/>
        </w:rPr>
      </w:pPr>
      <w:r>
        <w:rPr>
          <w:rFonts w:asciiTheme="minorHAnsi" w:hAnsiTheme="minorHAnsi" w:cstheme="minorHAnsi"/>
          <w:b/>
          <w:bCs/>
          <w:caps/>
          <w:sz w:val="22"/>
          <w:szCs w:val="22"/>
        </w:rPr>
        <w:t>SPRING, 2020</w:t>
      </w:r>
    </w:p>
    <w:p w:rsidR="008E0BE7" w:rsidRPr="00D45B8C" w:rsidRDefault="008E0BE7" w:rsidP="008E0BE7">
      <w:pPr>
        <w:pStyle w:val="Default"/>
        <w:jc w:val="center"/>
        <w:rPr>
          <w:rFonts w:asciiTheme="minorHAnsi" w:hAnsiTheme="minorHAnsi" w:cstheme="minorHAnsi"/>
          <w:cap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Course</w:t>
      </w:r>
      <w:r w:rsidR="002038AF">
        <w:rPr>
          <w:rFonts w:asciiTheme="minorHAnsi" w:hAnsiTheme="minorHAnsi" w:cstheme="minorHAnsi"/>
          <w:sz w:val="22"/>
          <w:szCs w:val="22"/>
        </w:rPr>
        <w:t xml:space="preserve">: </w:t>
      </w:r>
      <w:r w:rsidR="002038AF">
        <w:rPr>
          <w:rFonts w:asciiTheme="minorHAnsi" w:hAnsiTheme="minorHAnsi" w:cstheme="minorHAnsi"/>
          <w:sz w:val="22"/>
          <w:szCs w:val="22"/>
        </w:rPr>
        <w:tab/>
        <w:t>FORENSIC EVIDENCE</w:t>
      </w:r>
    </w:p>
    <w:p w:rsidR="008E0BE7" w:rsidRPr="00D45B8C" w:rsidRDefault="002038AF" w:rsidP="008E0BE7">
      <w:pPr>
        <w:pStyle w:val="Default"/>
        <w:ind w:left="720" w:firstLine="720"/>
        <w:rPr>
          <w:rFonts w:asciiTheme="minorHAnsi" w:hAnsiTheme="minorHAnsi" w:cstheme="minorHAnsi"/>
          <w:sz w:val="22"/>
          <w:szCs w:val="22"/>
        </w:rPr>
      </w:pPr>
      <w:r>
        <w:rPr>
          <w:rFonts w:asciiTheme="minorHAnsi" w:hAnsiTheme="minorHAnsi" w:cstheme="minorHAnsi"/>
          <w:sz w:val="22"/>
          <w:szCs w:val="22"/>
        </w:rPr>
        <w:t>LAW 892</w:t>
      </w:r>
    </w:p>
    <w:p w:rsidR="008E0BE7" w:rsidRPr="00D45B8C" w:rsidRDefault="008E0BE7" w:rsidP="00B80CB2">
      <w:pPr>
        <w:pStyle w:val="Default"/>
        <w:ind w:left="1440"/>
        <w:rPr>
          <w:rFonts w:asciiTheme="minorHAnsi" w:hAnsiTheme="minorHAnsi" w:cstheme="minorHAnsi"/>
          <w:b/>
          <w:sz w:val="22"/>
          <w:szCs w:val="22"/>
        </w:rPr>
      </w:pPr>
      <w:r w:rsidRPr="00D45B8C">
        <w:rPr>
          <w:rFonts w:asciiTheme="minorHAnsi" w:hAnsiTheme="minorHAnsi" w:cstheme="minorHAnsi"/>
          <w:sz w:val="22"/>
          <w:szCs w:val="22"/>
        </w:rPr>
        <w:t>Section N</w:t>
      </w:r>
      <w:r w:rsidR="0022585F">
        <w:rPr>
          <w:rFonts w:asciiTheme="minorHAnsi" w:hAnsiTheme="minorHAnsi" w:cstheme="minorHAnsi"/>
          <w:sz w:val="22"/>
          <w:szCs w:val="22"/>
        </w:rPr>
        <w:t>umber</w:t>
      </w:r>
      <w:r w:rsidR="002038AF">
        <w:rPr>
          <w:rFonts w:asciiTheme="minorHAnsi" w:hAnsiTheme="minorHAnsi" w:cstheme="minorHAnsi"/>
          <w:sz w:val="22"/>
          <w:szCs w:val="22"/>
        </w:rPr>
        <w:t xml:space="preserve"> 512</w:t>
      </w:r>
      <w:r w:rsidR="00F165E6">
        <w:rPr>
          <w:rFonts w:asciiTheme="minorHAnsi" w:hAnsiTheme="minorHAnsi" w:cstheme="minorHAnsi"/>
          <w:sz w:val="22"/>
          <w:szCs w:val="22"/>
        </w:rPr>
        <w:t xml:space="preserve"> </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Instructor</w:t>
      </w:r>
      <w:r w:rsidR="00F165E6">
        <w:rPr>
          <w:rFonts w:asciiTheme="minorHAnsi" w:hAnsiTheme="minorHAnsi" w:cstheme="minorHAnsi"/>
          <w:sz w:val="22"/>
          <w:szCs w:val="22"/>
        </w:rPr>
        <w:t xml:space="preserve">: </w:t>
      </w:r>
      <w:r w:rsidR="00F165E6">
        <w:rPr>
          <w:rFonts w:asciiTheme="minorHAnsi" w:hAnsiTheme="minorHAnsi" w:cstheme="minorHAnsi"/>
          <w:sz w:val="22"/>
          <w:szCs w:val="22"/>
        </w:rPr>
        <w:tab/>
        <w:t>WILLIAM H. JONES</w:t>
      </w:r>
    </w:p>
    <w:p w:rsidR="008E0BE7" w:rsidRPr="00D45B8C" w:rsidRDefault="008E0BE7" w:rsidP="008E0BE7">
      <w:pPr>
        <w:pStyle w:val="Default"/>
        <w:ind w:left="720" w:firstLine="720"/>
        <w:rPr>
          <w:rFonts w:asciiTheme="minorHAnsi" w:hAnsiTheme="minorHAnsi" w:cstheme="minorHAnsi"/>
          <w:b/>
          <w:sz w:val="22"/>
          <w:szCs w:val="22"/>
        </w:rPr>
      </w:pPr>
      <w:r w:rsidRPr="00D45B8C">
        <w:rPr>
          <w:rFonts w:asciiTheme="minorHAnsi" w:hAnsiTheme="minorHAnsi" w:cstheme="minorHAnsi"/>
          <w:sz w:val="22"/>
          <w:szCs w:val="22"/>
        </w:rPr>
        <w:t xml:space="preserve"> </w:t>
      </w:r>
      <w:hyperlink r:id="rId5" w:history="1">
        <w:r w:rsidR="00127B7B" w:rsidRPr="0046428F">
          <w:rPr>
            <w:rStyle w:val="Hyperlink"/>
            <w:rFonts w:asciiTheme="minorHAnsi" w:hAnsiTheme="minorHAnsi" w:cstheme="minorHAnsi"/>
            <w:sz w:val="22"/>
            <w:szCs w:val="22"/>
          </w:rPr>
          <w:t>williamhjones24@gmail.com</w:t>
        </w:r>
      </w:hyperlink>
      <w:r w:rsidR="00127B7B">
        <w:rPr>
          <w:rFonts w:asciiTheme="minorHAnsi" w:hAnsiTheme="minorHAnsi" w:cstheme="minorHAnsi"/>
          <w:sz w:val="22"/>
          <w:szCs w:val="22"/>
        </w:rPr>
        <w:t>; 443-521-4489 (c), 410-228-3611 (w)</w:t>
      </w:r>
    </w:p>
    <w:p w:rsidR="00134429" w:rsidRPr="00D45B8C" w:rsidRDefault="00127B7B" w:rsidP="008E0BE7">
      <w:pPr>
        <w:pStyle w:val="Default"/>
        <w:ind w:left="720" w:firstLine="720"/>
        <w:rPr>
          <w:rFonts w:asciiTheme="minorHAnsi" w:hAnsiTheme="minorHAnsi" w:cstheme="minorHAnsi"/>
          <w:sz w:val="22"/>
          <w:szCs w:val="22"/>
        </w:rPr>
      </w:pPr>
      <w:r>
        <w:rPr>
          <w:rFonts w:asciiTheme="minorHAnsi" w:hAnsiTheme="minorHAnsi" w:cstheme="minorHAnsi"/>
          <w:sz w:val="22"/>
          <w:szCs w:val="22"/>
        </w:rPr>
        <w:t>I will be available before and after class for consultation, as well as other times as may be agreed upon.</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 xml:space="preserve">Days/Time: </w:t>
      </w:r>
      <w:r w:rsidRPr="00D45B8C">
        <w:rPr>
          <w:rFonts w:asciiTheme="minorHAnsi" w:hAnsiTheme="minorHAnsi" w:cstheme="minorHAnsi"/>
          <w:b/>
          <w:bCs/>
          <w:sz w:val="22"/>
          <w:szCs w:val="22"/>
        </w:rPr>
        <w:tab/>
      </w:r>
      <w:r w:rsidR="002038AF">
        <w:rPr>
          <w:rFonts w:asciiTheme="minorHAnsi" w:hAnsiTheme="minorHAnsi" w:cstheme="minorHAnsi"/>
          <w:sz w:val="22"/>
          <w:szCs w:val="22"/>
        </w:rPr>
        <w:t>Tuesday</w:t>
      </w:r>
      <w:r w:rsidRPr="00D45B8C">
        <w:rPr>
          <w:rFonts w:asciiTheme="minorHAnsi" w:hAnsiTheme="minorHAnsi" w:cstheme="minorHAnsi"/>
          <w:sz w:val="22"/>
          <w:szCs w:val="22"/>
        </w:rPr>
        <w:t>/</w:t>
      </w:r>
      <w:r w:rsidR="002038AF">
        <w:rPr>
          <w:rFonts w:asciiTheme="minorHAnsi" w:hAnsiTheme="minorHAnsi" w:cstheme="minorHAnsi"/>
          <w:sz w:val="22"/>
          <w:szCs w:val="22"/>
        </w:rPr>
        <w:t>7:45 PM-9:35</w:t>
      </w:r>
      <w:r w:rsidR="00127B7B">
        <w:rPr>
          <w:rFonts w:asciiTheme="minorHAnsi" w:hAnsiTheme="minorHAnsi" w:cstheme="minorHAnsi"/>
          <w:sz w:val="22"/>
          <w:szCs w:val="22"/>
        </w:rPr>
        <w:t>PM</w:t>
      </w:r>
      <w:r w:rsidRPr="00D45B8C">
        <w:rPr>
          <w:rFonts w:asciiTheme="minorHAnsi" w:hAnsiTheme="minorHAnsi" w:cstheme="minorHAnsi"/>
          <w:sz w:val="22"/>
          <w:szCs w:val="22"/>
        </w:rPr>
        <w:t xml:space="preserve"> </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F552FE">
      <w:pPr>
        <w:pStyle w:val="Default"/>
        <w:ind w:left="1440" w:hanging="1440"/>
        <w:rPr>
          <w:rFonts w:asciiTheme="minorHAnsi" w:hAnsiTheme="minorHAnsi" w:cstheme="minorHAnsi"/>
          <w:sz w:val="22"/>
          <w:szCs w:val="22"/>
        </w:rPr>
      </w:pPr>
      <w:r w:rsidRPr="00FC7AE1">
        <w:rPr>
          <w:rFonts w:asciiTheme="minorHAnsi" w:hAnsiTheme="minorHAnsi" w:cstheme="minorHAnsi"/>
          <w:b/>
          <w:bCs/>
          <w:sz w:val="22"/>
          <w:szCs w:val="22"/>
        </w:rPr>
        <w:t>Location:</w:t>
      </w:r>
      <w:r w:rsidRPr="00D45B8C">
        <w:rPr>
          <w:rFonts w:asciiTheme="minorHAnsi" w:hAnsiTheme="minorHAnsi" w:cstheme="minorHAnsi"/>
          <w:b/>
          <w:bCs/>
          <w:sz w:val="22"/>
          <w:szCs w:val="22"/>
        </w:rPr>
        <w:t xml:space="preserve"> </w:t>
      </w:r>
      <w:r w:rsidRPr="00D45B8C">
        <w:rPr>
          <w:rFonts w:asciiTheme="minorHAnsi" w:hAnsiTheme="minorHAnsi" w:cstheme="minorHAnsi"/>
          <w:sz w:val="22"/>
          <w:szCs w:val="22"/>
        </w:rPr>
        <w:tab/>
      </w:r>
      <w:r w:rsidR="00D45B8C" w:rsidRPr="00D45B8C">
        <w:rPr>
          <w:rFonts w:asciiTheme="minorHAnsi" w:hAnsiTheme="minorHAnsi" w:cstheme="minorHAnsi"/>
          <w:sz w:val="22"/>
          <w:szCs w:val="22"/>
        </w:rPr>
        <w:t>Room assignments are available through</w:t>
      </w:r>
      <w:r w:rsidR="00B80CB2" w:rsidRPr="00D45B8C">
        <w:rPr>
          <w:rFonts w:asciiTheme="minorHAnsi" w:hAnsiTheme="minorHAnsi" w:cstheme="minorHAnsi"/>
          <w:sz w:val="22"/>
          <w:szCs w:val="22"/>
        </w:rPr>
        <w:t xml:space="preserve"> </w:t>
      </w:r>
      <w:proofErr w:type="spellStart"/>
      <w:r w:rsidR="00B80CB2" w:rsidRPr="00D45B8C">
        <w:rPr>
          <w:rFonts w:asciiTheme="minorHAnsi" w:hAnsiTheme="minorHAnsi" w:cstheme="minorHAnsi"/>
          <w:sz w:val="22"/>
          <w:szCs w:val="22"/>
        </w:rPr>
        <w:t>MyUB</w:t>
      </w:r>
      <w:proofErr w:type="spellEnd"/>
      <w:r w:rsidR="00B80CB2" w:rsidRPr="00D45B8C">
        <w:rPr>
          <w:rFonts w:asciiTheme="minorHAnsi" w:hAnsiTheme="minorHAnsi" w:cstheme="minorHAnsi"/>
          <w:sz w:val="22"/>
          <w:szCs w:val="22"/>
        </w:rPr>
        <w:t>.</w:t>
      </w:r>
      <w:r w:rsidR="00F552FE" w:rsidRPr="00D45B8C">
        <w:rPr>
          <w:rFonts w:asciiTheme="minorHAnsi" w:hAnsiTheme="minorHAnsi" w:cstheme="minorHAnsi"/>
          <w:sz w:val="22"/>
          <w:szCs w:val="22"/>
        </w:rPr>
        <w:t xml:space="preserve"> </w:t>
      </w:r>
    </w:p>
    <w:p w:rsidR="008E0BE7" w:rsidRPr="00D45B8C" w:rsidRDefault="008E0BE7" w:rsidP="008E0BE7">
      <w:pPr>
        <w:pStyle w:val="Default"/>
        <w:rPr>
          <w:rFonts w:asciiTheme="minorHAnsi" w:hAnsiTheme="minorHAnsi" w:cstheme="minorHAnsi"/>
          <w:b/>
          <w:bCs/>
          <w:sz w:val="22"/>
          <w:szCs w:val="22"/>
        </w:rPr>
      </w:pPr>
    </w:p>
    <w:p w:rsidR="00B80CB2" w:rsidRPr="00D45B8C" w:rsidRDefault="008E0BE7" w:rsidP="00B80CB2">
      <w:pPr>
        <w:pStyle w:val="Default"/>
        <w:rPr>
          <w:rFonts w:asciiTheme="minorHAnsi" w:hAnsiTheme="minorHAnsi" w:cstheme="minorHAnsi"/>
          <w:sz w:val="22"/>
          <w:szCs w:val="22"/>
        </w:rPr>
      </w:pPr>
      <w:r w:rsidRPr="00FC7AE1">
        <w:rPr>
          <w:rFonts w:asciiTheme="minorHAnsi" w:hAnsiTheme="minorHAnsi" w:cstheme="minorHAnsi"/>
          <w:b/>
          <w:bCs/>
          <w:sz w:val="22"/>
          <w:szCs w:val="22"/>
        </w:rPr>
        <w:t>Course Description</w:t>
      </w:r>
      <w:r w:rsidRPr="00FC7AE1">
        <w:rPr>
          <w:rFonts w:asciiTheme="minorHAnsi" w:hAnsiTheme="minorHAnsi" w:cstheme="minorHAnsi"/>
          <w:sz w:val="22"/>
          <w:szCs w:val="22"/>
        </w:rPr>
        <w:t>:</w:t>
      </w:r>
      <w:r w:rsidRPr="00D45B8C">
        <w:rPr>
          <w:rFonts w:asciiTheme="minorHAnsi" w:hAnsiTheme="minorHAnsi" w:cstheme="minorHAnsi"/>
          <w:sz w:val="22"/>
          <w:szCs w:val="22"/>
        </w:rPr>
        <w:t xml:space="preserve"> </w:t>
      </w:r>
    </w:p>
    <w:p w:rsidR="00887BFD" w:rsidRDefault="00887BFD" w:rsidP="00B80CB2">
      <w:pPr>
        <w:pStyle w:val="Default"/>
        <w:rPr>
          <w:rFonts w:asciiTheme="minorHAnsi" w:hAnsiTheme="minorHAnsi" w:cstheme="minorHAnsi"/>
          <w:sz w:val="22"/>
          <w:szCs w:val="22"/>
        </w:rPr>
      </w:pPr>
    </w:p>
    <w:tbl>
      <w:tblPr>
        <w:tblW w:w="10005" w:type="dxa"/>
        <w:tblCellSpacing w:w="0" w:type="dxa"/>
        <w:shd w:val="clear" w:color="auto" w:fill="FFFFFF"/>
        <w:tblCellMar>
          <w:left w:w="0" w:type="dxa"/>
          <w:right w:w="0" w:type="dxa"/>
        </w:tblCellMar>
        <w:tblLook w:val="04A0" w:firstRow="1" w:lastRow="0" w:firstColumn="1" w:lastColumn="0" w:noHBand="0" w:noVBand="1"/>
      </w:tblPr>
      <w:tblGrid>
        <w:gridCol w:w="1430"/>
        <w:gridCol w:w="1430"/>
        <w:gridCol w:w="1429"/>
        <w:gridCol w:w="1429"/>
        <w:gridCol w:w="1429"/>
        <w:gridCol w:w="1429"/>
        <w:gridCol w:w="1429"/>
      </w:tblGrid>
      <w:tr w:rsidR="00A56845" w:rsidRPr="00A56845" w:rsidTr="00A56845">
        <w:trPr>
          <w:tblCellSpacing w:w="0" w:type="dxa"/>
        </w:trPr>
        <w:tc>
          <w:tcPr>
            <w:tcW w:w="0" w:type="auto"/>
            <w:gridSpan w:val="7"/>
            <w:shd w:val="clear" w:color="auto" w:fill="FFFFFF"/>
            <w:hideMark/>
          </w:tcPr>
          <w:p w:rsidR="00A56845" w:rsidRPr="00A56845" w:rsidRDefault="00A56845">
            <w:pPr>
              <w:rPr>
                <w:rFonts w:asciiTheme="minorHAnsi" w:hAnsiTheme="minorHAnsi" w:cs="Arial"/>
                <w:color w:val="000000"/>
                <w:sz w:val="22"/>
                <w:szCs w:val="22"/>
              </w:rPr>
            </w:pPr>
          </w:p>
        </w:tc>
      </w:tr>
      <w:tr w:rsidR="00A56845" w:rsidRPr="00A56845" w:rsidTr="00A56845">
        <w:trPr>
          <w:tblCellSpacing w:w="0" w:type="dxa"/>
        </w:trPr>
        <w:tc>
          <w:tcPr>
            <w:tcW w:w="0" w:type="auto"/>
            <w:shd w:val="clear" w:color="auto" w:fill="FFFFFF"/>
            <w:vAlign w:val="center"/>
            <w:hideMark/>
          </w:tcPr>
          <w:p w:rsidR="00A56845" w:rsidRPr="00A56845" w:rsidRDefault="00A56845">
            <w:pPr>
              <w:rPr>
                <w:rFonts w:asciiTheme="minorHAnsi" w:hAnsiTheme="minorHAnsi"/>
                <w:sz w:val="22"/>
                <w:szCs w:val="22"/>
              </w:rPr>
            </w:pPr>
          </w:p>
        </w:tc>
        <w:tc>
          <w:tcPr>
            <w:tcW w:w="0" w:type="auto"/>
            <w:shd w:val="clear" w:color="auto" w:fill="FFFFFF"/>
            <w:vAlign w:val="center"/>
            <w:hideMark/>
          </w:tcPr>
          <w:p w:rsidR="00A56845" w:rsidRPr="00A56845" w:rsidRDefault="00A56845">
            <w:pPr>
              <w:rPr>
                <w:rFonts w:asciiTheme="minorHAnsi" w:hAnsiTheme="minorHAnsi"/>
                <w:sz w:val="22"/>
                <w:szCs w:val="22"/>
              </w:rPr>
            </w:pPr>
          </w:p>
        </w:tc>
        <w:tc>
          <w:tcPr>
            <w:tcW w:w="0" w:type="auto"/>
            <w:shd w:val="clear" w:color="auto" w:fill="FFFFFF"/>
            <w:vAlign w:val="center"/>
            <w:hideMark/>
          </w:tcPr>
          <w:p w:rsidR="00A56845" w:rsidRPr="00A56845" w:rsidRDefault="00A56845">
            <w:pPr>
              <w:rPr>
                <w:rFonts w:asciiTheme="minorHAnsi" w:hAnsiTheme="minorHAnsi"/>
                <w:sz w:val="22"/>
                <w:szCs w:val="22"/>
              </w:rPr>
            </w:pPr>
          </w:p>
        </w:tc>
        <w:tc>
          <w:tcPr>
            <w:tcW w:w="0" w:type="auto"/>
            <w:shd w:val="clear" w:color="auto" w:fill="FFFFFF"/>
            <w:vAlign w:val="center"/>
            <w:hideMark/>
          </w:tcPr>
          <w:p w:rsidR="00A56845" w:rsidRPr="00A56845" w:rsidRDefault="00A56845">
            <w:pPr>
              <w:rPr>
                <w:rFonts w:asciiTheme="minorHAnsi" w:hAnsiTheme="minorHAnsi"/>
                <w:sz w:val="22"/>
                <w:szCs w:val="22"/>
              </w:rPr>
            </w:pPr>
          </w:p>
        </w:tc>
        <w:tc>
          <w:tcPr>
            <w:tcW w:w="0" w:type="auto"/>
            <w:shd w:val="clear" w:color="auto" w:fill="FFFFFF"/>
            <w:vAlign w:val="center"/>
            <w:hideMark/>
          </w:tcPr>
          <w:p w:rsidR="00A56845" w:rsidRPr="00A56845" w:rsidRDefault="00A56845">
            <w:pPr>
              <w:rPr>
                <w:rFonts w:asciiTheme="minorHAnsi" w:hAnsiTheme="minorHAnsi"/>
                <w:sz w:val="22"/>
                <w:szCs w:val="22"/>
              </w:rPr>
            </w:pPr>
          </w:p>
        </w:tc>
        <w:tc>
          <w:tcPr>
            <w:tcW w:w="0" w:type="auto"/>
            <w:shd w:val="clear" w:color="auto" w:fill="FFFFFF"/>
            <w:vAlign w:val="center"/>
            <w:hideMark/>
          </w:tcPr>
          <w:p w:rsidR="00A56845" w:rsidRPr="00A56845" w:rsidRDefault="00A56845">
            <w:pPr>
              <w:rPr>
                <w:rFonts w:asciiTheme="minorHAnsi" w:hAnsiTheme="minorHAnsi"/>
                <w:sz w:val="22"/>
                <w:szCs w:val="22"/>
              </w:rPr>
            </w:pPr>
          </w:p>
        </w:tc>
        <w:tc>
          <w:tcPr>
            <w:tcW w:w="0" w:type="auto"/>
            <w:shd w:val="clear" w:color="auto" w:fill="FFFFFF"/>
            <w:vAlign w:val="center"/>
            <w:hideMark/>
          </w:tcPr>
          <w:p w:rsidR="00A56845" w:rsidRPr="00A56845" w:rsidRDefault="00A56845">
            <w:pPr>
              <w:rPr>
                <w:rFonts w:asciiTheme="minorHAnsi" w:hAnsiTheme="minorHAnsi"/>
                <w:sz w:val="22"/>
                <w:szCs w:val="22"/>
              </w:rPr>
            </w:pPr>
          </w:p>
        </w:tc>
      </w:tr>
    </w:tbl>
    <w:p w:rsidR="00A56845" w:rsidRDefault="0011417D" w:rsidP="00B80CB2">
      <w:pPr>
        <w:pStyle w:val="Default"/>
        <w:rPr>
          <w:rFonts w:asciiTheme="minorHAnsi" w:hAnsiTheme="minorHAnsi" w:cstheme="minorHAnsi"/>
          <w:sz w:val="22"/>
          <w:szCs w:val="22"/>
        </w:rPr>
      </w:pPr>
      <w:r>
        <w:rPr>
          <w:rStyle w:val="pslongeditbox"/>
          <w:rFonts w:asciiTheme="minorHAnsi" w:hAnsiTheme="minorHAnsi"/>
          <w:sz w:val="22"/>
          <w:szCs w:val="22"/>
        </w:rPr>
        <w:t>T</w:t>
      </w:r>
      <w:r w:rsidRPr="00A56845">
        <w:rPr>
          <w:rStyle w:val="pslongeditbox"/>
          <w:rFonts w:asciiTheme="minorHAnsi" w:hAnsiTheme="minorHAnsi"/>
          <w:sz w:val="22"/>
          <w:szCs w:val="22"/>
        </w:rPr>
        <w:t xml:space="preserve">his course gives students an understanding of forensic evidence topics such as pathology, crime scene investigation, detection of bodily fluids, firearms and tool marks, trace evidence detection and analysis, toxicology, arson investigation, personal identification (including fingerprints, serology, DNA, odontology, and osteology), and questioned documents.  Students will be introduced to the use of the on-line Index </w:t>
      </w:r>
      <w:proofErr w:type="spellStart"/>
      <w:r w:rsidRPr="00A56845">
        <w:rPr>
          <w:rStyle w:val="pslongeditbox"/>
          <w:rFonts w:asciiTheme="minorHAnsi" w:hAnsiTheme="minorHAnsi"/>
          <w:sz w:val="22"/>
          <w:szCs w:val="22"/>
        </w:rPr>
        <w:t>Medicus</w:t>
      </w:r>
      <w:proofErr w:type="spellEnd"/>
      <w:r w:rsidRPr="00A56845">
        <w:rPr>
          <w:rStyle w:val="pslongeditbox"/>
          <w:rFonts w:asciiTheme="minorHAnsi" w:hAnsiTheme="minorHAnsi"/>
          <w:sz w:val="22"/>
          <w:szCs w:val="22"/>
        </w:rPr>
        <w:t>, PubMed, as well as the repositories of texts and journal articles in medical school libraries, and will conduct research in them.  The effective use and cross-examination of expert witnesses in the respective areas of expertise will also be addressed.  Upon successful completion of this course, students should be able to determine when the forensic sciences might be of value in their cases, and s</w:t>
      </w:r>
      <w:r>
        <w:rPr>
          <w:rStyle w:val="pslongeditbox"/>
          <w:rFonts w:asciiTheme="minorHAnsi" w:hAnsiTheme="minorHAnsi"/>
          <w:sz w:val="22"/>
          <w:szCs w:val="22"/>
        </w:rPr>
        <w:t>h</w:t>
      </w:r>
      <w:r w:rsidRPr="00A56845">
        <w:rPr>
          <w:rStyle w:val="pslongeditbox"/>
          <w:rFonts w:asciiTheme="minorHAnsi" w:hAnsiTheme="minorHAnsi"/>
          <w:sz w:val="22"/>
          <w:szCs w:val="22"/>
        </w:rPr>
        <w:t>ould be fully prepared to conduct their own research in forensic evidence topics.  Prerequisites:  Evidence. [Limited Enrollment]</w:t>
      </w:r>
    </w:p>
    <w:p w:rsidR="008E0BE7" w:rsidRPr="00D45B8C" w:rsidRDefault="008E0BE7" w:rsidP="008E0BE7">
      <w:pPr>
        <w:pStyle w:val="Default"/>
        <w:rPr>
          <w:rFonts w:asciiTheme="minorHAnsi" w:hAnsiTheme="minorHAnsi" w:cstheme="minorHAnsi"/>
          <w:b/>
          <w:bCs/>
          <w:sz w:val="22"/>
          <w:szCs w:val="22"/>
        </w:rPr>
      </w:pPr>
    </w:p>
    <w:p w:rsidR="008E0BE7" w:rsidRDefault="008E0BE7" w:rsidP="008E0BE7">
      <w:pPr>
        <w:pStyle w:val="Default"/>
        <w:rPr>
          <w:rFonts w:asciiTheme="minorHAnsi" w:hAnsiTheme="minorHAnsi" w:cstheme="minorHAnsi"/>
          <w:b/>
          <w:bCs/>
          <w:sz w:val="22"/>
          <w:szCs w:val="22"/>
        </w:rPr>
      </w:pPr>
      <w:r w:rsidRPr="00D45B8C">
        <w:rPr>
          <w:rFonts w:asciiTheme="minorHAnsi" w:hAnsiTheme="minorHAnsi" w:cstheme="minorHAnsi"/>
          <w:b/>
          <w:bCs/>
          <w:sz w:val="22"/>
          <w:szCs w:val="22"/>
        </w:rPr>
        <w:t xml:space="preserve">Course Materials: </w:t>
      </w:r>
    </w:p>
    <w:p w:rsidR="00887BFD" w:rsidRDefault="00887BFD" w:rsidP="008E0BE7">
      <w:pPr>
        <w:pStyle w:val="Default"/>
        <w:rPr>
          <w:rFonts w:asciiTheme="minorHAnsi" w:hAnsiTheme="minorHAnsi" w:cstheme="minorHAnsi"/>
          <w:b/>
          <w:bCs/>
          <w:sz w:val="22"/>
          <w:szCs w:val="22"/>
        </w:rPr>
      </w:pPr>
    </w:p>
    <w:p w:rsidR="00887BFD" w:rsidRPr="00887BFD" w:rsidRDefault="00887BFD" w:rsidP="00887BFD">
      <w:pPr>
        <w:rPr>
          <w:rFonts w:asciiTheme="minorHAnsi" w:hAnsiTheme="minorHAnsi"/>
          <w:sz w:val="22"/>
          <w:szCs w:val="22"/>
        </w:rPr>
      </w:pPr>
      <w:r w:rsidRPr="00887BFD">
        <w:rPr>
          <w:rFonts w:asciiTheme="minorHAnsi" w:hAnsiTheme="minorHAnsi"/>
          <w:b/>
          <w:sz w:val="22"/>
          <w:szCs w:val="22"/>
        </w:rPr>
        <w:t>REQUIR</w:t>
      </w:r>
      <w:r w:rsidR="00A56845">
        <w:rPr>
          <w:rFonts w:asciiTheme="minorHAnsi" w:hAnsiTheme="minorHAnsi"/>
          <w:b/>
          <w:sz w:val="22"/>
          <w:szCs w:val="22"/>
        </w:rPr>
        <w:t>ED BOOK:</w:t>
      </w:r>
      <w:r w:rsidR="00A56845">
        <w:rPr>
          <w:rFonts w:asciiTheme="minorHAnsi" w:hAnsiTheme="minorHAnsi"/>
          <w:b/>
          <w:sz w:val="22"/>
          <w:szCs w:val="22"/>
        </w:rPr>
        <w:tab/>
      </w:r>
      <w:proofErr w:type="spellStart"/>
      <w:r w:rsidR="00DE059B" w:rsidRPr="00DE059B">
        <w:rPr>
          <w:rFonts w:asciiTheme="minorHAnsi" w:hAnsiTheme="minorHAnsi"/>
          <w:sz w:val="22"/>
          <w:szCs w:val="22"/>
        </w:rPr>
        <w:t>Reequired</w:t>
      </w:r>
      <w:proofErr w:type="spellEnd"/>
      <w:r w:rsidR="00DE059B" w:rsidRPr="00DE059B">
        <w:rPr>
          <w:rFonts w:asciiTheme="minorHAnsi" w:hAnsiTheme="minorHAnsi"/>
          <w:sz w:val="22"/>
          <w:szCs w:val="22"/>
        </w:rPr>
        <w:t xml:space="preserve"> reading will be assigned but no book is required</w:t>
      </w:r>
      <w:r w:rsidRPr="00DE059B">
        <w:rPr>
          <w:rFonts w:asciiTheme="minorHAnsi" w:hAnsiTheme="minorHAnsi"/>
          <w:sz w:val="22"/>
          <w:szCs w:val="22"/>
        </w:rPr>
        <w:t>.</w:t>
      </w:r>
    </w:p>
    <w:p w:rsidR="00887BFD" w:rsidRPr="00887BFD" w:rsidRDefault="00887BFD" w:rsidP="00887BFD">
      <w:pPr>
        <w:rPr>
          <w:rFonts w:asciiTheme="minorHAnsi" w:hAnsiTheme="minorHAnsi"/>
          <w:b/>
          <w:sz w:val="22"/>
          <w:szCs w:val="22"/>
        </w:rPr>
      </w:pPr>
    </w:p>
    <w:p w:rsidR="00887BFD" w:rsidRPr="00887BFD" w:rsidRDefault="00887BFD" w:rsidP="00887BFD">
      <w:pPr>
        <w:rPr>
          <w:rFonts w:asciiTheme="minorHAnsi" w:hAnsiTheme="minorHAnsi"/>
          <w:b/>
          <w:sz w:val="22"/>
          <w:szCs w:val="22"/>
        </w:rPr>
      </w:pPr>
      <w:r w:rsidRPr="00887BFD">
        <w:rPr>
          <w:rFonts w:asciiTheme="minorHAnsi" w:hAnsiTheme="minorHAnsi"/>
          <w:b/>
          <w:sz w:val="22"/>
          <w:szCs w:val="22"/>
        </w:rPr>
        <w:t>RECOMMENDED BOOKS:</w:t>
      </w:r>
    </w:p>
    <w:p w:rsidR="00887BFD" w:rsidRPr="00887BFD" w:rsidRDefault="00887BFD" w:rsidP="00887BFD">
      <w:pPr>
        <w:pStyle w:val="ListParagraph"/>
        <w:numPr>
          <w:ilvl w:val="0"/>
          <w:numId w:val="1"/>
        </w:numPr>
        <w:rPr>
          <w:rFonts w:cs="Times New Roman"/>
        </w:rPr>
      </w:pPr>
      <w:r w:rsidRPr="00887BFD">
        <w:rPr>
          <w:rFonts w:cs="Times New Roman"/>
          <w:b/>
        </w:rPr>
        <w:t xml:space="preserve">Maryland Practice, Maryland Rules of Evidence, </w:t>
      </w:r>
      <w:r w:rsidRPr="00887BFD">
        <w:rPr>
          <w:rFonts w:cs="Times New Roman"/>
        </w:rPr>
        <w:t>Lynn McLain.</w:t>
      </w:r>
    </w:p>
    <w:p w:rsidR="008E0BE7" w:rsidRPr="00D45B8C" w:rsidRDefault="008E0BE7" w:rsidP="008E0BE7">
      <w:pPr>
        <w:pStyle w:val="Default"/>
        <w:rPr>
          <w:rFonts w:asciiTheme="minorHAnsi" w:hAnsiTheme="minorHAnsi" w:cstheme="minorHAnsi"/>
          <w:b/>
          <w:bCs/>
          <w:sz w:val="22"/>
          <w:szCs w:val="22"/>
        </w:rPr>
      </w:pPr>
    </w:p>
    <w:p w:rsidR="008E0BE7" w:rsidRPr="00D45B8C" w:rsidRDefault="00F552FE"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Student Learning Outcomes:</w:t>
      </w:r>
    </w:p>
    <w:p w:rsidR="00163F36" w:rsidRDefault="00163F36" w:rsidP="008E0BE7">
      <w:pPr>
        <w:pStyle w:val="Default"/>
        <w:rPr>
          <w:rFonts w:asciiTheme="minorHAnsi" w:hAnsiTheme="minorHAnsi" w:cstheme="minorHAnsi"/>
          <w:sz w:val="22"/>
          <w:szCs w:val="22"/>
        </w:rPr>
      </w:pPr>
    </w:p>
    <w:p w:rsidR="000630B5" w:rsidRPr="000630B5" w:rsidRDefault="00793A98" w:rsidP="000630B5">
      <w:pPr>
        <w:pStyle w:val="Default"/>
        <w:numPr>
          <w:ilvl w:val="0"/>
          <w:numId w:val="2"/>
        </w:numPr>
        <w:rPr>
          <w:rFonts w:asciiTheme="minorHAnsi" w:hAnsiTheme="minorHAnsi" w:cstheme="minorHAnsi"/>
          <w:b/>
          <w:bCs/>
          <w:sz w:val="22"/>
          <w:szCs w:val="22"/>
        </w:rPr>
      </w:pPr>
      <w:r>
        <w:rPr>
          <w:rFonts w:asciiTheme="minorHAnsi" w:hAnsiTheme="minorHAnsi" w:cstheme="minorHAnsi"/>
          <w:sz w:val="22"/>
          <w:szCs w:val="22"/>
        </w:rPr>
        <w:t xml:space="preserve">Understand basic scientific principles of forensic science.  </w:t>
      </w:r>
    </w:p>
    <w:p w:rsidR="000630B5" w:rsidRPr="000630B5" w:rsidRDefault="000630B5" w:rsidP="000630B5">
      <w:pPr>
        <w:pStyle w:val="Default"/>
        <w:numPr>
          <w:ilvl w:val="0"/>
          <w:numId w:val="2"/>
        </w:numPr>
        <w:rPr>
          <w:rFonts w:asciiTheme="minorHAnsi" w:hAnsiTheme="minorHAnsi" w:cstheme="minorHAnsi"/>
          <w:b/>
          <w:bCs/>
          <w:sz w:val="22"/>
          <w:szCs w:val="22"/>
        </w:rPr>
      </w:pPr>
      <w:r>
        <w:rPr>
          <w:rFonts w:asciiTheme="minorHAnsi" w:hAnsiTheme="minorHAnsi" w:cstheme="minorHAnsi"/>
          <w:sz w:val="22"/>
          <w:szCs w:val="22"/>
        </w:rPr>
        <w:t>Identify ethical issues that arise at all stages of litigation.</w:t>
      </w:r>
    </w:p>
    <w:p w:rsidR="000630B5" w:rsidRPr="000630B5" w:rsidRDefault="00793A98" w:rsidP="000630B5">
      <w:pPr>
        <w:pStyle w:val="Default"/>
        <w:numPr>
          <w:ilvl w:val="0"/>
          <w:numId w:val="2"/>
        </w:numPr>
        <w:rPr>
          <w:rFonts w:asciiTheme="minorHAnsi" w:hAnsiTheme="minorHAnsi" w:cstheme="minorHAnsi"/>
          <w:b/>
          <w:bCs/>
          <w:sz w:val="22"/>
          <w:szCs w:val="22"/>
        </w:rPr>
      </w:pPr>
      <w:r>
        <w:rPr>
          <w:rFonts w:asciiTheme="minorHAnsi" w:hAnsiTheme="minorHAnsi" w:cstheme="minorHAnsi"/>
          <w:sz w:val="22"/>
          <w:szCs w:val="22"/>
        </w:rPr>
        <w:t>Understand basic principles of the various fields of forensic science</w:t>
      </w:r>
      <w:r w:rsidR="000630B5">
        <w:rPr>
          <w:rFonts w:asciiTheme="minorHAnsi" w:hAnsiTheme="minorHAnsi" w:cstheme="minorHAnsi"/>
          <w:sz w:val="22"/>
          <w:szCs w:val="22"/>
        </w:rPr>
        <w:t>.</w:t>
      </w:r>
    </w:p>
    <w:p w:rsidR="000630B5" w:rsidRPr="000630B5" w:rsidRDefault="000630B5" w:rsidP="000630B5">
      <w:pPr>
        <w:pStyle w:val="Default"/>
        <w:numPr>
          <w:ilvl w:val="0"/>
          <w:numId w:val="2"/>
        </w:numPr>
        <w:rPr>
          <w:rFonts w:asciiTheme="minorHAnsi" w:hAnsiTheme="minorHAnsi" w:cstheme="minorHAnsi"/>
          <w:b/>
          <w:bCs/>
          <w:sz w:val="22"/>
          <w:szCs w:val="22"/>
        </w:rPr>
      </w:pPr>
      <w:r>
        <w:rPr>
          <w:rFonts w:asciiTheme="minorHAnsi" w:hAnsiTheme="minorHAnsi" w:cstheme="minorHAnsi"/>
          <w:sz w:val="22"/>
          <w:szCs w:val="22"/>
        </w:rPr>
        <w:t>Demonstr</w:t>
      </w:r>
      <w:r w:rsidR="00793A98">
        <w:rPr>
          <w:rFonts w:asciiTheme="minorHAnsi" w:hAnsiTheme="minorHAnsi" w:cstheme="minorHAnsi"/>
          <w:sz w:val="22"/>
          <w:szCs w:val="22"/>
        </w:rPr>
        <w:t>ate an understanding of principles of admissibility of forensic evidence</w:t>
      </w:r>
      <w:r>
        <w:rPr>
          <w:rFonts w:asciiTheme="minorHAnsi" w:hAnsiTheme="minorHAnsi" w:cstheme="minorHAnsi"/>
          <w:sz w:val="22"/>
          <w:szCs w:val="22"/>
        </w:rPr>
        <w:t>.</w:t>
      </w:r>
    </w:p>
    <w:p w:rsidR="000630B5" w:rsidRPr="00D45B8C" w:rsidRDefault="000630B5" w:rsidP="000630B5">
      <w:pPr>
        <w:pStyle w:val="Default"/>
        <w:numPr>
          <w:ilvl w:val="0"/>
          <w:numId w:val="2"/>
        </w:numPr>
        <w:rPr>
          <w:rFonts w:asciiTheme="minorHAnsi" w:hAnsiTheme="minorHAnsi" w:cstheme="minorHAnsi"/>
          <w:b/>
          <w:bCs/>
          <w:sz w:val="22"/>
          <w:szCs w:val="22"/>
        </w:rPr>
      </w:pPr>
      <w:r>
        <w:rPr>
          <w:rFonts w:asciiTheme="minorHAnsi" w:hAnsiTheme="minorHAnsi" w:cstheme="minorHAnsi"/>
          <w:sz w:val="22"/>
          <w:szCs w:val="22"/>
        </w:rPr>
        <w:t>De</w:t>
      </w:r>
      <w:r w:rsidR="00793A98">
        <w:rPr>
          <w:rFonts w:asciiTheme="minorHAnsi" w:hAnsiTheme="minorHAnsi" w:cstheme="minorHAnsi"/>
          <w:sz w:val="22"/>
          <w:szCs w:val="22"/>
        </w:rPr>
        <w:t>monstrate an understanding of how and when to utilize the various fields of forensic science</w:t>
      </w:r>
      <w:r>
        <w:rPr>
          <w:rFonts w:asciiTheme="minorHAnsi" w:hAnsiTheme="minorHAnsi" w:cstheme="minorHAnsi"/>
          <w:sz w:val="22"/>
          <w:szCs w:val="22"/>
        </w:rPr>
        <w:t>.</w:t>
      </w:r>
    </w:p>
    <w:p w:rsidR="008E0BE7" w:rsidRPr="00D45B8C" w:rsidRDefault="008E0BE7" w:rsidP="008E0BE7">
      <w:pPr>
        <w:pStyle w:val="Default"/>
        <w:rPr>
          <w:rFonts w:asciiTheme="minorHAnsi" w:hAnsiTheme="minorHAnsi" w:cstheme="minorHAnsi"/>
          <w:b/>
          <w:bCs/>
          <w:sz w:val="22"/>
          <w:szCs w:val="22"/>
        </w:rPr>
      </w:pPr>
    </w:p>
    <w:p w:rsidR="00A56845" w:rsidRDefault="008E0BE7" w:rsidP="000630B5">
      <w:pPr>
        <w:pStyle w:val="Default"/>
        <w:rPr>
          <w:rFonts w:asciiTheme="minorHAnsi" w:hAnsiTheme="minorHAnsi"/>
          <w:sz w:val="22"/>
          <w:szCs w:val="22"/>
        </w:rPr>
      </w:pPr>
      <w:r w:rsidRPr="00FC7AE1">
        <w:rPr>
          <w:rFonts w:asciiTheme="minorHAnsi" w:hAnsiTheme="minorHAnsi" w:cstheme="minorHAnsi"/>
          <w:b/>
          <w:bCs/>
          <w:sz w:val="22"/>
          <w:szCs w:val="22"/>
        </w:rPr>
        <w:t>Grades:</w:t>
      </w:r>
      <w:r w:rsidRPr="00D45B8C">
        <w:rPr>
          <w:rFonts w:asciiTheme="minorHAnsi" w:hAnsiTheme="minorHAnsi" w:cstheme="minorHAnsi"/>
          <w:b/>
          <w:bCs/>
          <w:sz w:val="22"/>
          <w:szCs w:val="22"/>
        </w:rPr>
        <w:t xml:space="preserve"> </w:t>
      </w:r>
      <w:r w:rsidR="000630B5">
        <w:rPr>
          <w:rFonts w:asciiTheme="minorHAnsi" w:hAnsiTheme="minorHAnsi" w:cstheme="minorHAnsi"/>
          <w:b/>
          <w:bCs/>
          <w:sz w:val="22"/>
          <w:szCs w:val="22"/>
        </w:rPr>
        <w:t xml:space="preserve"> </w:t>
      </w:r>
      <w:r w:rsidR="000630B5" w:rsidRPr="000630B5">
        <w:rPr>
          <w:rFonts w:asciiTheme="minorHAnsi" w:hAnsiTheme="minorHAnsi"/>
          <w:sz w:val="22"/>
          <w:szCs w:val="22"/>
        </w:rPr>
        <w:t xml:space="preserve">You will be evaluated based on </w:t>
      </w:r>
      <w:r w:rsidR="00A56845">
        <w:rPr>
          <w:rFonts w:asciiTheme="minorHAnsi" w:hAnsiTheme="minorHAnsi"/>
          <w:sz w:val="22"/>
          <w:szCs w:val="22"/>
        </w:rPr>
        <w:t>two examinations</w:t>
      </w:r>
      <w:r w:rsidR="000F6938">
        <w:rPr>
          <w:rFonts w:asciiTheme="minorHAnsi" w:hAnsiTheme="minorHAnsi"/>
          <w:sz w:val="22"/>
          <w:szCs w:val="22"/>
        </w:rPr>
        <w:t xml:space="preserve">.  </w:t>
      </w:r>
      <w:r w:rsidR="00A56845">
        <w:rPr>
          <w:rFonts w:asciiTheme="minorHAnsi" w:hAnsiTheme="minorHAnsi"/>
          <w:sz w:val="22"/>
          <w:szCs w:val="22"/>
        </w:rPr>
        <w:t>The midterm examination</w:t>
      </w:r>
      <w:r w:rsidR="000F6938">
        <w:rPr>
          <w:rFonts w:asciiTheme="minorHAnsi" w:hAnsiTheme="minorHAnsi"/>
          <w:sz w:val="22"/>
          <w:szCs w:val="22"/>
        </w:rPr>
        <w:t xml:space="preserve"> </w:t>
      </w:r>
      <w:r w:rsidR="00A56845">
        <w:rPr>
          <w:rFonts w:asciiTheme="minorHAnsi" w:hAnsiTheme="minorHAnsi"/>
          <w:sz w:val="22"/>
          <w:szCs w:val="22"/>
        </w:rPr>
        <w:t>25%, and t</w:t>
      </w:r>
      <w:r w:rsidR="000F6938">
        <w:rPr>
          <w:rFonts w:asciiTheme="minorHAnsi" w:hAnsiTheme="minorHAnsi"/>
          <w:sz w:val="22"/>
          <w:szCs w:val="22"/>
        </w:rPr>
        <w:t>he final examination is worth 75</w:t>
      </w:r>
      <w:r w:rsidR="00A56845">
        <w:rPr>
          <w:rFonts w:asciiTheme="minorHAnsi" w:hAnsiTheme="minorHAnsi"/>
          <w:sz w:val="22"/>
          <w:szCs w:val="22"/>
        </w:rPr>
        <w:t>% of the final grade.</w:t>
      </w:r>
    </w:p>
    <w:p w:rsidR="000630B5" w:rsidRPr="00D45B8C" w:rsidRDefault="000630B5" w:rsidP="008E0BE7">
      <w:pPr>
        <w:pStyle w:val="Default"/>
        <w:rPr>
          <w:rFonts w:asciiTheme="minorHAnsi" w:hAnsiTheme="minorHAnsi" w:cstheme="minorHAnsi"/>
          <w:b/>
          <w:bCs/>
          <w:sz w:val="22"/>
          <w:szCs w:val="22"/>
        </w:rPr>
      </w:pPr>
    </w:p>
    <w:p w:rsidR="008E0BE7" w:rsidRPr="00D45B8C" w:rsidRDefault="00444083"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Course Expectations</w:t>
      </w:r>
      <w:r w:rsidR="008E0BE7" w:rsidRPr="00FC7AE1">
        <w:rPr>
          <w:rFonts w:asciiTheme="minorHAnsi" w:hAnsiTheme="minorHAnsi" w:cstheme="minorHAnsi"/>
          <w:b/>
          <w:bCs/>
          <w:sz w:val="22"/>
          <w:szCs w:val="22"/>
        </w:rPr>
        <w:t>:</w:t>
      </w:r>
      <w:r w:rsidR="008E0BE7" w:rsidRPr="00D45B8C">
        <w:rPr>
          <w:rFonts w:asciiTheme="minorHAnsi" w:hAnsiTheme="minorHAnsi" w:cstheme="minorHAnsi"/>
          <w:b/>
          <w:bCs/>
          <w:sz w:val="22"/>
          <w:szCs w:val="22"/>
        </w:rPr>
        <w:t xml:space="preserve"> </w:t>
      </w:r>
    </w:p>
    <w:p w:rsidR="00444083" w:rsidRPr="00D45B8C" w:rsidRDefault="00444083" w:rsidP="00444083">
      <w:pPr>
        <w:rPr>
          <w:rFonts w:asciiTheme="minorHAnsi" w:hAnsiTheme="minorHAnsi"/>
          <w:sz w:val="22"/>
          <w:szCs w:val="22"/>
        </w:rPr>
      </w:pPr>
      <w:r w:rsidRPr="00D45B8C">
        <w:rPr>
          <w:rFonts w:asciiTheme="minorHAnsi" w:hAnsiTheme="minorHAnsi" w:cstheme="minorHAnsi"/>
          <w:sz w:val="22"/>
          <w:szCs w:val="22"/>
        </w:rPr>
        <w:t xml:space="preserve">American Bar Association </w:t>
      </w:r>
      <w:r w:rsidR="00B80CB2" w:rsidRPr="00D45B8C">
        <w:rPr>
          <w:rFonts w:asciiTheme="minorHAnsi" w:hAnsiTheme="minorHAnsi" w:cstheme="minorHAnsi"/>
          <w:sz w:val="22"/>
          <w:szCs w:val="22"/>
        </w:rPr>
        <w:t>S</w:t>
      </w:r>
      <w:r w:rsidRPr="00D45B8C">
        <w:rPr>
          <w:rFonts w:asciiTheme="minorHAnsi" w:hAnsiTheme="minorHAnsi" w:cstheme="minorHAnsi"/>
          <w:sz w:val="22"/>
          <w:szCs w:val="22"/>
        </w:rPr>
        <w:t xml:space="preserve">tandards </w:t>
      </w:r>
      <w:r w:rsidR="00B80CB2" w:rsidRPr="00D45B8C">
        <w:rPr>
          <w:rFonts w:asciiTheme="minorHAnsi" w:hAnsiTheme="minorHAnsi" w:cstheme="minorHAnsi"/>
          <w:sz w:val="22"/>
          <w:szCs w:val="22"/>
        </w:rPr>
        <w:t xml:space="preserve">for Law Schools </w:t>
      </w:r>
      <w:r w:rsidRPr="00D45B8C">
        <w:rPr>
          <w:rFonts w:asciiTheme="minorHAnsi" w:hAnsiTheme="minorHAnsi" w:cstheme="minorHAnsi"/>
          <w:sz w:val="22"/>
          <w:szCs w:val="22"/>
        </w:rPr>
        <w:t xml:space="preserve">establish guidelines for the amount of work students should expect to complete for each credit earned. Students should expect approximately one hour of classroom instruction and two hours of out-of-class work for each credit earned in a class, or an equivalent amount of work </w:t>
      </w:r>
      <w:r w:rsidRPr="00D45B8C">
        <w:rPr>
          <w:rFonts w:asciiTheme="minorHAnsi" w:hAnsiTheme="minorHAnsi"/>
          <w:sz w:val="22"/>
          <w:szCs w:val="22"/>
        </w:rPr>
        <w:t>for other academic activities, such as simulations, externships, clinical supervision, co-curricular activities, and other academic work leading to the award of credit hours.</w:t>
      </w:r>
    </w:p>
    <w:p w:rsidR="00444083" w:rsidRDefault="00444083" w:rsidP="008E0BE7">
      <w:pPr>
        <w:pStyle w:val="Default"/>
        <w:rPr>
          <w:rFonts w:asciiTheme="minorHAnsi" w:hAnsiTheme="minorHAnsi" w:cstheme="minorHAnsi"/>
          <w:sz w:val="22"/>
          <w:szCs w:val="22"/>
        </w:rPr>
      </w:pPr>
    </w:p>
    <w:p w:rsidR="000630B5" w:rsidRPr="00D45B8C" w:rsidRDefault="000630B5" w:rsidP="008E0BE7">
      <w:pPr>
        <w:pStyle w:val="Default"/>
        <w:rPr>
          <w:rFonts w:asciiTheme="minorHAnsi" w:hAnsiTheme="minorHAnsi" w:cstheme="minorHAnsi"/>
          <w:sz w:val="22"/>
          <w:szCs w:val="22"/>
        </w:rPr>
      </w:pPr>
      <w:r>
        <w:rPr>
          <w:rFonts w:asciiTheme="minorHAnsi" w:hAnsiTheme="minorHAnsi" w:cstheme="minorHAnsi"/>
          <w:sz w:val="22"/>
          <w:szCs w:val="22"/>
        </w:rPr>
        <w:t>All students are expected to come to class prepared to perform the exercises/assignments given in advance.  As well, students not scheduled to perform as a student attorney and/or witness are expected to be familiar with the exercises so as to engage in thoughtful dialog regarding the proceedings that occur.</w:t>
      </w:r>
    </w:p>
    <w:p w:rsidR="008E0BE7" w:rsidRPr="00D45B8C" w:rsidRDefault="008E0BE7" w:rsidP="008E0BE7">
      <w:pPr>
        <w:pStyle w:val="Default"/>
        <w:ind w:left="720"/>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Attendance</w:t>
      </w:r>
      <w:r w:rsidRPr="00D45B8C">
        <w:rPr>
          <w:rFonts w:asciiTheme="minorHAnsi" w:hAnsiTheme="minorHAnsi" w:cstheme="minorHAnsi"/>
          <w:sz w:val="22"/>
          <w:szCs w:val="22"/>
        </w:rPr>
        <w:t xml:space="preserve">: </w:t>
      </w:r>
    </w:p>
    <w:p w:rsidR="008E0BE7" w:rsidRPr="00D45B8C" w:rsidRDefault="008E0BE7" w:rsidP="008E0BE7">
      <w:pPr>
        <w:tabs>
          <w:tab w:val="left" w:pos="6487"/>
          <w:tab w:val="decimal" w:pos="7576"/>
        </w:tabs>
        <w:autoSpaceDE w:val="0"/>
        <w:autoSpaceDN w:val="0"/>
        <w:adjustRightInd w:val="0"/>
        <w:jc w:val="both"/>
        <w:rPr>
          <w:rFonts w:asciiTheme="minorHAnsi" w:hAnsiTheme="minorHAnsi"/>
          <w:sz w:val="22"/>
          <w:szCs w:val="22"/>
        </w:rPr>
      </w:pPr>
      <w:r w:rsidRPr="00D45B8C">
        <w:rPr>
          <w:rFonts w:asciiTheme="minorHAnsi" w:hAnsiTheme="minorHAnsi"/>
          <w:sz w:val="22"/>
          <w:szCs w:val="22"/>
        </w:rPr>
        <w:t>Class attendance is a primary obligation of each student whose right to continued enrollment in the course and to take the examination is conditioned upon a record of attendance satisfactory to the professor. A student who exceeds the maximum allowed absences (generally 20% of class sessions) as illustrated below</w:t>
      </w:r>
      <w:r w:rsidR="0022585F">
        <w:rPr>
          <w:rFonts w:asciiTheme="minorHAnsi" w:hAnsiTheme="minorHAnsi"/>
          <w:sz w:val="22"/>
          <w:szCs w:val="22"/>
        </w:rPr>
        <w:t>,</w:t>
      </w:r>
      <w:r w:rsidRPr="00D45B8C">
        <w:rPr>
          <w:rFonts w:asciiTheme="minorHAnsi" w:hAnsiTheme="minorHAnsi"/>
          <w:sz w:val="22"/>
          <w:szCs w:val="22"/>
        </w:rPr>
        <w:t xml:space="preserve"> may be compelled to withdraw from the course, or may be barred from sitting for the final exam.  Students who are forced to withdraw for exceeding the allowed absences may receive a grade of FA (failure due to excessive absence). This policy is consistent with American Bar Association Standards for Law Schools.</w:t>
      </w:r>
    </w:p>
    <w:p w:rsidR="008E0BE7" w:rsidRPr="00D45B8C" w:rsidRDefault="008E0BE7" w:rsidP="008E0BE7">
      <w:pPr>
        <w:tabs>
          <w:tab w:val="left" w:pos="710"/>
          <w:tab w:val="left" w:pos="6487"/>
          <w:tab w:val="decimal" w:pos="7576"/>
        </w:tabs>
        <w:autoSpaceDE w:val="0"/>
        <w:autoSpaceDN w:val="0"/>
        <w:adjustRightInd w:val="0"/>
        <w:ind w:left="360" w:firstLine="720"/>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30"/>
        <w:gridCol w:w="3197"/>
      </w:tblGrid>
      <w:tr w:rsidR="008E0BE7" w:rsidRPr="00D45B8C" w:rsidTr="00A42F22">
        <w:trPr>
          <w:trHeight w:val="300"/>
          <w:jc w:val="center"/>
        </w:trPr>
        <w:tc>
          <w:tcPr>
            <w:tcW w:w="9036" w:type="dxa"/>
            <w:gridSpan w:val="3"/>
            <w:shd w:val="pct5" w:color="auto" w:fill="auto"/>
          </w:tcPr>
          <w:p w:rsidR="008E0BE7" w:rsidRPr="00D45B8C" w:rsidRDefault="008E0BE7" w:rsidP="00E226B6">
            <w:pPr>
              <w:tabs>
                <w:tab w:val="left" w:pos="710"/>
                <w:tab w:val="left" w:pos="6487"/>
                <w:tab w:val="decimal" w:pos="7576"/>
              </w:tabs>
              <w:autoSpaceDE w:val="0"/>
              <w:autoSpaceDN w:val="0"/>
              <w:adjustRightInd w:val="0"/>
              <w:rPr>
                <w:rFonts w:asciiTheme="minorHAnsi" w:hAnsiTheme="minorHAnsi"/>
                <w:sz w:val="22"/>
                <w:szCs w:val="22"/>
              </w:rPr>
            </w:pPr>
            <w:r w:rsidRPr="00D45B8C">
              <w:rPr>
                <w:rFonts w:asciiTheme="minorHAnsi" w:hAnsiTheme="minorHAnsi"/>
                <w:sz w:val="22"/>
                <w:szCs w:val="22"/>
              </w:rPr>
              <w:t>Regular Semester Hours</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Credit Hours</w:t>
            </w:r>
          </w:p>
        </w:tc>
        <w:tc>
          <w:tcPr>
            <w:tcW w:w="6527" w:type="dxa"/>
            <w:gridSpan w:val="2"/>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Meetings Per Week</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p>
        </w:tc>
        <w:tc>
          <w:tcPr>
            <w:tcW w:w="3330"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1</w:t>
            </w:r>
          </w:p>
        </w:tc>
        <w:tc>
          <w:tcPr>
            <w:tcW w:w="3197"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w:t>
            </w:r>
          </w:p>
        </w:tc>
        <w:tc>
          <w:tcPr>
            <w:tcW w:w="3330"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 absences</w:t>
            </w:r>
          </w:p>
        </w:tc>
        <w:tc>
          <w:tcPr>
            <w:tcW w:w="3197"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r w:rsidR="008E0BE7" w:rsidRPr="00D45B8C" w:rsidTr="00E226B6">
        <w:trPr>
          <w:jc w:val="center"/>
        </w:trPr>
        <w:tc>
          <w:tcPr>
            <w:tcW w:w="2509"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3</w:t>
            </w:r>
          </w:p>
        </w:tc>
        <w:tc>
          <w:tcPr>
            <w:tcW w:w="3330"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2 absences</w:t>
            </w:r>
          </w:p>
        </w:tc>
        <w:tc>
          <w:tcPr>
            <w:tcW w:w="3197" w:type="dxa"/>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r w:rsidR="008E0BE7" w:rsidRPr="00D45B8C" w:rsidTr="006A67A2">
        <w:trPr>
          <w:trHeight w:val="282"/>
          <w:jc w:val="center"/>
        </w:trPr>
        <w:tc>
          <w:tcPr>
            <w:tcW w:w="2509" w:type="dxa"/>
            <w:tcBorders>
              <w:bottom w:val="single" w:sz="4" w:space="0" w:color="auto"/>
            </w:tcBorders>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4</w:t>
            </w:r>
          </w:p>
        </w:tc>
        <w:tc>
          <w:tcPr>
            <w:tcW w:w="3330" w:type="dxa"/>
            <w:tcBorders>
              <w:bottom w:val="single" w:sz="4" w:space="0" w:color="auto"/>
            </w:tcBorders>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w:t>
            </w:r>
          </w:p>
        </w:tc>
        <w:tc>
          <w:tcPr>
            <w:tcW w:w="3197" w:type="dxa"/>
            <w:tcBorders>
              <w:bottom w:val="single" w:sz="4" w:space="0" w:color="auto"/>
            </w:tcBorders>
          </w:tcPr>
          <w:p w:rsidR="008E0BE7" w:rsidRPr="00D45B8C" w:rsidRDefault="008E0BE7" w:rsidP="00E226B6">
            <w:pPr>
              <w:tabs>
                <w:tab w:val="left" w:pos="710"/>
                <w:tab w:val="left" w:pos="6487"/>
                <w:tab w:val="decimal" w:pos="7576"/>
              </w:tabs>
              <w:autoSpaceDE w:val="0"/>
              <w:autoSpaceDN w:val="0"/>
              <w:adjustRightInd w:val="0"/>
              <w:jc w:val="center"/>
              <w:rPr>
                <w:rFonts w:asciiTheme="minorHAnsi" w:hAnsiTheme="minorHAnsi"/>
                <w:sz w:val="22"/>
                <w:szCs w:val="22"/>
              </w:rPr>
            </w:pPr>
            <w:r w:rsidRPr="00D45B8C">
              <w:rPr>
                <w:rFonts w:asciiTheme="minorHAnsi" w:hAnsiTheme="minorHAnsi"/>
                <w:sz w:val="22"/>
                <w:szCs w:val="22"/>
              </w:rPr>
              <w:t>5 absences</w:t>
            </w:r>
          </w:p>
        </w:tc>
      </w:tr>
    </w:tbl>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Course Web</w:t>
      </w:r>
      <w:r w:rsidR="00B80CB2" w:rsidRPr="00FC7AE1">
        <w:rPr>
          <w:rFonts w:asciiTheme="minorHAnsi" w:hAnsiTheme="minorHAnsi" w:cstheme="minorHAnsi"/>
          <w:b/>
          <w:bCs/>
          <w:sz w:val="22"/>
          <w:szCs w:val="22"/>
        </w:rPr>
        <w:t>site</w:t>
      </w:r>
      <w:r w:rsidRPr="00FC7AE1">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sz w:val="22"/>
          <w:szCs w:val="22"/>
        </w:rPr>
        <w:t xml:space="preserve">This course has a TWEN </w:t>
      </w:r>
      <w:r w:rsidR="00134429" w:rsidRPr="00D45B8C">
        <w:rPr>
          <w:rFonts w:asciiTheme="minorHAnsi" w:hAnsiTheme="minorHAnsi" w:cstheme="minorHAnsi"/>
          <w:sz w:val="22"/>
          <w:szCs w:val="22"/>
        </w:rPr>
        <w:t>page</w:t>
      </w:r>
      <w:r w:rsidRPr="00D45B8C">
        <w:rPr>
          <w:rFonts w:asciiTheme="minorHAnsi" w:hAnsiTheme="minorHAnsi" w:cstheme="minorHAnsi"/>
          <w:sz w:val="22"/>
          <w:szCs w:val="22"/>
        </w:rPr>
        <w:t xml:space="preserve"> that links to this syllabus, announcements, the class assignmen</w:t>
      </w:r>
      <w:r w:rsidR="00134429" w:rsidRPr="00D45B8C">
        <w:rPr>
          <w:rFonts w:asciiTheme="minorHAnsi" w:hAnsiTheme="minorHAnsi" w:cstheme="minorHAnsi"/>
          <w:sz w:val="22"/>
          <w:szCs w:val="22"/>
        </w:rPr>
        <w:t xml:space="preserve">ts, </w:t>
      </w:r>
      <w:r w:rsidRPr="00D45B8C">
        <w:rPr>
          <w:rFonts w:asciiTheme="minorHAnsi" w:hAnsiTheme="minorHAnsi" w:cstheme="minorHAnsi"/>
          <w:sz w:val="22"/>
          <w:szCs w:val="22"/>
        </w:rPr>
        <w:t xml:space="preserve">and other class materials. You are responsible for self-enrolling in the </w:t>
      </w:r>
      <w:r w:rsidR="00134429" w:rsidRPr="00D45B8C">
        <w:rPr>
          <w:rFonts w:asciiTheme="minorHAnsi" w:hAnsiTheme="minorHAnsi" w:cstheme="minorHAnsi"/>
          <w:sz w:val="22"/>
          <w:szCs w:val="22"/>
        </w:rPr>
        <w:t>TWEN page</w:t>
      </w:r>
      <w:r w:rsidR="00F552FE" w:rsidRPr="00D45B8C">
        <w:rPr>
          <w:rFonts w:asciiTheme="minorHAnsi" w:hAnsiTheme="minorHAnsi" w:cstheme="minorHAnsi"/>
          <w:sz w:val="22"/>
          <w:szCs w:val="22"/>
        </w:rPr>
        <w:t xml:space="preserve"> and for checking </w:t>
      </w:r>
      <w:r w:rsidR="00134429" w:rsidRPr="00D45B8C">
        <w:rPr>
          <w:rFonts w:asciiTheme="minorHAnsi" w:hAnsiTheme="minorHAnsi" w:cstheme="minorHAnsi"/>
          <w:sz w:val="22"/>
          <w:szCs w:val="22"/>
        </w:rPr>
        <w:t>it</w:t>
      </w:r>
      <w:r w:rsidRPr="00D45B8C">
        <w:rPr>
          <w:rFonts w:asciiTheme="minorHAnsi" w:hAnsiTheme="minorHAnsi" w:cstheme="minorHAnsi"/>
          <w:sz w:val="22"/>
          <w:szCs w:val="22"/>
        </w:rPr>
        <w:t xml:space="preserve"> regularly</w:t>
      </w:r>
      <w:r w:rsidR="00F552FE" w:rsidRPr="00D45B8C">
        <w:rPr>
          <w:rFonts w:asciiTheme="minorHAnsi" w:hAnsiTheme="minorHAnsi" w:cstheme="minorHAnsi"/>
          <w:sz w:val="22"/>
          <w:szCs w:val="22"/>
        </w:rPr>
        <w:t xml:space="preserve"> for course </w:t>
      </w:r>
      <w:r w:rsidR="00D73539" w:rsidRPr="00D45B8C">
        <w:rPr>
          <w:rFonts w:asciiTheme="minorHAnsi" w:hAnsiTheme="minorHAnsi" w:cstheme="minorHAnsi"/>
          <w:sz w:val="22"/>
          <w:szCs w:val="22"/>
        </w:rPr>
        <w:t>information</w:t>
      </w:r>
      <w:r w:rsidRPr="00D45B8C">
        <w:rPr>
          <w:rFonts w:asciiTheme="minorHAnsi" w:hAnsiTheme="minorHAnsi" w:cstheme="minorHAnsi"/>
          <w:sz w:val="22"/>
          <w:szCs w:val="22"/>
        </w:rPr>
        <w:t>.</w:t>
      </w:r>
      <w:r w:rsidR="00013580">
        <w:rPr>
          <w:rFonts w:asciiTheme="minorHAnsi" w:hAnsiTheme="minorHAnsi" w:cstheme="minorHAnsi"/>
          <w:sz w:val="22"/>
          <w:szCs w:val="22"/>
        </w:rPr>
        <w:t xml:space="preserve">  “Forensic Evidence 512</w:t>
      </w:r>
      <w:r w:rsidR="001E4C61">
        <w:rPr>
          <w:rFonts w:asciiTheme="minorHAnsi" w:hAnsiTheme="minorHAnsi" w:cstheme="minorHAnsi"/>
          <w:sz w:val="22"/>
          <w:szCs w:val="22"/>
        </w:rPr>
        <w:t>”</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Computers</w:t>
      </w:r>
      <w:r w:rsidR="00F552FE" w:rsidRPr="00D45B8C">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sz w:val="22"/>
          <w:szCs w:val="22"/>
        </w:rPr>
        <w:t>Students may</w:t>
      </w:r>
      <w:r w:rsidR="00A90431">
        <w:rPr>
          <w:rFonts w:asciiTheme="minorHAnsi" w:hAnsiTheme="minorHAnsi" w:cstheme="minorHAnsi"/>
          <w:sz w:val="22"/>
          <w:szCs w:val="22"/>
        </w:rPr>
        <w:t xml:space="preserve"> </w:t>
      </w:r>
      <w:r w:rsidRPr="00D45B8C">
        <w:rPr>
          <w:rFonts w:asciiTheme="minorHAnsi" w:hAnsiTheme="minorHAnsi" w:cstheme="minorHAnsi"/>
          <w:sz w:val="22"/>
          <w:szCs w:val="22"/>
        </w:rPr>
        <w:t xml:space="preserve">use laptop computers for class related purposes. </w:t>
      </w:r>
    </w:p>
    <w:p w:rsidR="008E0BE7" w:rsidRPr="00D45B8C" w:rsidRDefault="008E0BE7" w:rsidP="008E0BE7">
      <w:pPr>
        <w:pStyle w:val="Default"/>
        <w:rPr>
          <w:rFonts w:asciiTheme="minorHAnsi" w:hAnsiTheme="minorHAnsi" w:cstheme="minorHAnsi"/>
          <w:b/>
          <w:bCs/>
          <w:sz w:val="22"/>
          <w:szCs w:val="22"/>
        </w:rPr>
      </w:pP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b/>
          <w:bCs/>
          <w:sz w:val="22"/>
          <w:szCs w:val="22"/>
        </w:rPr>
        <w:t>Class Cancellation</w:t>
      </w:r>
      <w:r w:rsidR="00F552FE" w:rsidRPr="00D45B8C">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rsidR="008E0BE7" w:rsidRPr="00D45B8C" w:rsidRDefault="008E0BE7" w:rsidP="008E0BE7">
      <w:pPr>
        <w:pStyle w:val="Default"/>
        <w:rPr>
          <w:rFonts w:asciiTheme="minorHAnsi" w:hAnsiTheme="minorHAnsi" w:cstheme="minorHAnsi"/>
          <w:sz w:val="22"/>
          <w:szCs w:val="22"/>
        </w:rPr>
      </w:pPr>
      <w:r w:rsidRPr="00D45B8C">
        <w:rPr>
          <w:rFonts w:asciiTheme="minorHAnsi" w:hAnsiTheme="minorHAnsi" w:cstheme="minorHAnsi"/>
          <w:sz w:val="22"/>
          <w:szCs w:val="22"/>
        </w:rPr>
        <w:t xml:space="preserve">If the instructor must cancel a class, notices will be sent to students via email and posted on the classroom door.  If there is inclement weather, students should visit the University of Baltimore web </w:t>
      </w:r>
      <w:r w:rsidR="00444083" w:rsidRPr="00D45B8C">
        <w:rPr>
          <w:rFonts w:asciiTheme="minorHAnsi" w:hAnsiTheme="minorHAnsi" w:cstheme="minorHAnsi"/>
          <w:sz w:val="22"/>
          <w:szCs w:val="22"/>
        </w:rPr>
        <w:t>site</w:t>
      </w:r>
      <w:r w:rsidRPr="00D45B8C">
        <w:rPr>
          <w:rFonts w:asciiTheme="minorHAnsi" w:hAnsiTheme="minorHAnsi" w:cstheme="minorHAnsi"/>
          <w:sz w:val="22"/>
          <w:szCs w:val="22"/>
        </w:rPr>
        <w:t xml:space="preserve"> or call the University's Snow Closing Line at (410) 837-4201. If the University is </w:t>
      </w:r>
      <w:r w:rsidR="00334BDA" w:rsidRPr="00D45B8C">
        <w:rPr>
          <w:rFonts w:asciiTheme="minorHAnsi" w:hAnsiTheme="minorHAnsi" w:cstheme="minorHAnsi"/>
          <w:sz w:val="22"/>
          <w:szCs w:val="22"/>
        </w:rPr>
        <w:t>open</w:t>
      </w:r>
      <w:r w:rsidRPr="00D45B8C">
        <w:rPr>
          <w:rFonts w:asciiTheme="minorHAnsi" w:hAnsiTheme="minorHAnsi" w:cstheme="minorHAnsi"/>
          <w:sz w:val="22"/>
          <w:szCs w:val="22"/>
        </w:rPr>
        <w:t xml:space="preserve">, students should presume that classes are running on the normal schedule. </w:t>
      </w:r>
    </w:p>
    <w:p w:rsidR="008E0BE7" w:rsidRPr="00D45B8C" w:rsidRDefault="008E0BE7" w:rsidP="008E0BE7">
      <w:pPr>
        <w:pStyle w:val="Default"/>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b/>
          <w:bCs/>
          <w:sz w:val="22"/>
          <w:szCs w:val="22"/>
        </w:rPr>
      </w:pPr>
      <w:r w:rsidRPr="00FC7AE1">
        <w:rPr>
          <w:rFonts w:asciiTheme="minorHAnsi" w:hAnsiTheme="minorHAnsi" w:cstheme="minorHAnsi"/>
          <w:b/>
          <w:bCs/>
          <w:sz w:val="22"/>
          <w:szCs w:val="22"/>
        </w:rPr>
        <w:t>Academic Integrity</w:t>
      </w:r>
      <w:r w:rsidR="00F552FE" w:rsidRPr="00FC7AE1">
        <w:rPr>
          <w:rFonts w:asciiTheme="minorHAnsi" w:hAnsiTheme="minorHAnsi" w:cstheme="minorHAnsi"/>
          <w:b/>
          <w:bCs/>
          <w:sz w:val="22"/>
          <w:szCs w:val="22"/>
        </w:rPr>
        <w:t>:</w:t>
      </w:r>
    </w:p>
    <w:p w:rsidR="000271A9" w:rsidRDefault="000271A9" w:rsidP="00A13AD0">
      <w:pPr>
        <w:rPr>
          <w:rFonts w:asciiTheme="minorHAnsi" w:hAnsiTheme="minorHAnsi"/>
          <w:sz w:val="22"/>
          <w:szCs w:val="22"/>
        </w:rPr>
      </w:pPr>
    </w:p>
    <w:p w:rsidR="000271A9" w:rsidRDefault="000271A9" w:rsidP="00A13AD0">
      <w:pPr>
        <w:rPr>
          <w:rFonts w:asciiTheme="minorHAnsi" w:hAnsiTheme="minorHAnsi"/>
          <w:sz w:val="22"/>
          <w:szCs w:val="22"/>
        </w:rPr>
      </w:pPr>
      <w:r w:rsidRPr="000271A9">
        <w:rPr>
          <w:rFonts w:asciiTheme="minorHAnsi" w:hAnsiTheme="minorHAnsi"/>
          <w:sz w:val="22"/>
          <w:szCs w:val="22"/>
        </w:rPr>
        <w:t>Students are obligated to refrain from acts that they know or, under the circumstances, have reason to know will impair the academic integrity of the University and/or the School of Law. Violations of academic integrity include, but are not limited to: 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falsifying class attendance reports.  The School of Law Honor Code and information about the process is available at https://law.ubalt.edu/academics/policiesandprocedures/honor_code/index.cfm.</w:t>
      </w:r>
    </w:p>
    <w:p w:rsidR="000271A9" w:rsidRDefault="000271A9" w:rsidP="00A13AD0">
      <w:pPr>
        <w:rPr>
          <w:rFonts w:asciiTheme="minorHAnsi" w:hAnsiTheme="minorHAnsi"/>
          <w:sz w:val="22"/>
          <w:szCs w:val="22"/>
        </w:rPr>
      </w:pPr>
    </w:p>
    <w:p w:rsidR="00454158" w:rsidRPr="00454158" w:rsidRDefault="00454158" w:rsidP="00454158">
      <w:pPr>
        <w:autoSpaceDE w:val="0"/>
        <w:autoSpaceDN w:val="0"/>
        <w:adjustRightInd w:val="0"/>
        <w:rPr>
          <w:rFonts w:asciiTheme="minorHAnsi" w:eastAsia="Calibri" w:hAnsiTheme="minorHAnsi" w:cstheme="minorHAnsi"/>
          <w:b/>
          <w:bCs/>
          <w:color w:val="000000"/>
          <w:sz w:val="22"/>
          <w:szCs w:val="22"/>
        </w:rPr>
      </w:pPr>
      <w:r w:rsidRPr="00454158">
        <w:rPr>
          <w:rFonts w:asciiTheme="minorHAnsi" w:eastAsia="Calibri" w:hAnsiTheme="minorHAnsi" w:cstheme="minorHAnsi"/>
          <w:b/>
          <w:bCs/>
          <w:color w:val="000000"/>
          <w:sz w:val="22"/>
          <w:szCs w:val="22"/>
        </w:rPr>
        <w:t>Course Evaluations</w:t>
      </w:r>
    </w:p>
    <w:p w:rsidR="00454158" w:rsidRPr="00454158" w:rsidRDefault="00454158" w:rsidP="00454158">
      <w:pPr>
        <w:autoSpaceDE w:val="0"/>
        <w:autoSpaceDN w:val="0"/>
        <w:adjustRightInd w:val="0"/>
        <w:rPr>
          <w:rFonts w:asciiTheme="minorHAnsi" w:eastAsia="Calibri" w:hAnsiTheme="minorHAnsi" w:cstheme="minorHAnsi"/>
          <w:bCs/>
          <w:color w:val="000000"/>
          <w:sz w:val="22"/>
          <w:szCs w:val="22"/>
        </w:rPr>
      </w:pPr>
      <w:r w:rsidRPr="00454158">
        <w:rPr>
          <w:rFonts w:asciiTheme="minorHAnsi" w:eastAsia="Calibri" w:hAnsiTheme="minorHAnsi" w:cstheme="minorHAnsi"/>
          <w:bCs/>
          <w:color w:val="000000"/>
          <w:sz w:val="22"/>
          <w:szCs w:val="22"/>
        </w:rPr>
        <w:t>It is a requirement of this course that students complete a course evaluation. The evaluation will be available later in the semester and is entirely anonymous. Faculty members will not have access to the feedback provided on course evaluations until after all grades are submitted.</w:t>
      </w:r>
    </w:p>
    <w:p w:rsidR="00454158" w:rsidRPr="00D45B8C" w:rsidRDefault="00454158" w:rsidP="00163F36">
      <w:pPr>
        <w:autoSpaceDE w:val="0"/>
        <w:autoSpaceDN w:val="0"/>
        <w:adjustRightInd w:val="0"/>
        <w:rPr>
          <w:rFonts w:asciiTheme="minorHAnsi" w:eastAsia="Calibri" w:hAnsiTheme="minorHAnsi" w:cstheme="minorHAnsi"/>
          <w:b/>
          <w:bCs/>
          <w:color w:val="000000"/>
          <w:sz w:val="22"/>
          <w:szCs w:val="22"/>
        </w:rPr>
      </w:pPr>
    </w:p>
    <w:p w:rsidR="00454158" w:rsidRDefault="00454158" w:rsidP="00163F36">
      <w:pPr>
        <w:autoSpaceDE w:val="0"/>
        <w:autoSpaceDN w:val="0"/>
        <w:adjustRightInd w:val="0"/>
        <w:rPr>
          <w:rFonts w:asciiTheme="minorHAnsi" w:eastAsia="Calibri" w:hAnsiTheme="minorHAnsi" w:cstheme="minorHAnsi"/>
          <w:b/>
          <w:bCs/>
          <w:color w:val="000000"/>
          <w:sz w:val="22"/>
          <w:szCs w:val="22"/>
        </w:rPr>
      </w:pPr>
    </w:p>
    <w:p w:rsidR="00454158" w:rsidRDefault="00454158" w:rsidP="00163F36">
      <w:pPr>
        <w:autoSpaceDE w:val="0"/>
        <w:autoSpaceDN w:val="0"/>
        <w:adjustRightInd w:val="0"/>
        <w:rPr>
          <w:rFonts w:asciiTheme="minorHAnsi" w:eastAsia="Calibri" w:hAnsiTheme="minorHAnsi" w:cstheme="minorHAnsi"/>
          <w:b/>
          <w:bCs/>
          <w:color w:val="000000"/>
          <w:sz w:val="22"/>
          <w:szCs w:val="22"/>
        </w:rPr>
      </w:pPr>
    </w:p>
    <w:p w:rsidR="00454158" w:rsidRDefault="00454158" w:rsidP="00163F36">
      <w:pPr>
        <w:autoSpaceDE w:val="0"/>
        <w:autoSpaceDN w:val="0"/>
        <w:adjustRightInd w:val="0"/>
        <w:rPr>
          <w:rFonts w:asciiTheme="minorHAnsi" w:eastAsia="Calibri" w:hAnsiTheme="minorHAnsi" w:cstheme="minorHAnsi"/>
          <w:b/>
          <w:bCs/>
          <w:color w:val="000000"/>
          <w:sz w:val="22"/>
          <w:szCs w:val="22"/>
        </w:rPr>
      </w:pPr>
    </w:p>
    <w:p w:rsidR="00163F36" w:rsidRPr="00D45B8C" w:rsidRDefault="00163F36" w:rsidP="00163F36">
      <w:pPr>
        <w:autoSpaceDE w:val="0"/>
        <w:autoSpaceDN w:val="0"/>
        <w:adjustRightInd w:val="0"/>
        <w:rPr>
          <w:rFonts w:asciiTheme="minorHAnsi" w:eastAsia="Calibri" w:hAnsiTheme="minorHAnsi" w:cstheme="minorHAnsi"/>
          <w:b/>
          <w:bCs/>
          <w:color w:val="000000"/>
          <w:sz w:val="22"/>
          <w:szCs w:val="22"/>
        </w:rPr>
      </w:pPr>
      <w:r w:rsidRPr="00FC7AE1">
        <w:rPr>
          <w:rFonts w:asciiTheme="minorHAnsi" w:eastAsia="Calibri" w:hAnsiTheme="minorHAnsi" w:cstheme="minorHAnsi"/>
          <w:b/>
          <w:bCs/>
          <w:color w:val="000000"/>
          <w:sz w:val="22"/>
          <w:szCs w:val="22"/>
        </w:rPr>
        <w:t xml:space="preserve">Title IX Sexual Misconduct </w:t>
      </w:r>
      <w:r w:rsidR="00A42F22" w:rsidRPr="00FC7AE1">
        <w:rPr>
          <w:rFonts w:asciiTheme="minorHAnsi" w:eastAsia="Calibri" w:hAnsiTheme="minorHAnsi" w:cstheme="minorHAnsi"/>
          <w:b/>
          <w:bCs/>
          <w:color w:val="000000"/>
          <w:sz w:val="22"/>
          <w:szCs w:val="22"/>
        </w:rPr>
        <w:t xml:space="preserve">and Nondiscrimination </w:t>
      </w:r>
      <w:r w:rsidRPr="00FC7AE1">
        <w:rPr>
          <w:rFonts w:asciiTheme="minorHAnsi" w:eastAsia="Calibri" w:hAnsiTheme="minorHAnsi" w:cstheme="minorHAnsi"/>
          <w:b/>
          <w:bCs/>
          <w:color w:val="000000"/>
          <w:sz w:val="22"/>
          <w:szCs w:val="22"/>
        </w:rPr>
        <w:t>Policy</w:t>
      </w:r>
      <w:r w:rsidR="00F552FE" w:rsidRPr="00FC7AE1">
        <w:rPr>
          <w:rFonts w:asciiTheme="minorHAnsi" w:eastAsia="Calibri" w:hAnsiTheme="minorHAnsi" w:cstheme="minorHAnsi"/>
          <w:b/>
          <w:bCs/>
          <w:color w:val="000000"/>
          <w:sz w:val="22"/>
          <w:szCs w:val="22"/>
        </w:rPr>
        <w:t>:</w:t>
      </w:r>
      <w:r w:rsidRPr="00D45B8C">
        <w:rPr>
          <w:rFonts w:asciiTheme="minorHAnsi" w:eastAsia="Calibri" w:hAnsiTheme="minorHAnsi" w:cstheme="minorHAnsi"/>
          <w:b/>
          <w:bCs/>
          <w:color w:val="000000"/>
          <w:sz w:val="22"/>
          <w:szCs w:val="22"/>
        </w:rPr>
        <w:t xml:space="preserve"> </w:t>
      </w:r>
    </w:p>
    <w:p w:rsidR="00A42F22" w:rsidRPr="00D45B8C" w:rsidRDefault="00163F36" w:rsidP="00163F36">
      <w:pPr>
        <w:pStyle w:val="Default"/>
        <w:rPr>
          <w:rFonts w:asciiTheme="minorHAnsi" w:hAnsiTheme="minorHAnsi" w:cstheme="minorHAnsi"/>
          <w:sz w:val="22"/>
          <w:szCs w:val="22"/>
        </w:rPr>
      </w:pPr>
      <w:r w:rsidRPr="00D45B8C">
        <w:rPr>
          <w:rFonts w:asciiTheme="minorHAnsi" w:hAnsiTheme="minorHAnsi" w:cstheme="minorHAnsi"/>
          <w:sz w:val="22"/>
          <w:szCs w:val="22"/>
        </w:rPr>
        <w:t xml:space="preserve">The University of Baltimore’s Sexual Misconduct </w:t>
      </w:r>
      <w:r w:rsidR="00C60388" w:rsidRPr="00D45B8C">
        <w:rPr>
          <w:rFonts w:asciiTheme="minorHAnsi" w:hAnsiTheme="minorHAnsi" w:cstheme="minorHAnsi"/>
          <w:sz w:val="22"/>
          <w:szCs w:val="22"/>
        </w:rPr>
        <w:t xml:space="preserve">and Nondiscrimination </w:t>
      </w:r>
      <w:r w:rsidRPr="00D45B8C">
        <w:rPr>
          <w:rFonts w:asciiTheme="minorHAnsi" w:hAnsiTheme="minorHAnsi" w:cstheme="minorHAnsi"/>
          <w:sz w:val="22"/>
          <w:szCs w:val="22"/>
        </w:rPr>
        <w:t>polic</w:t>
      </w:r>
      <w:r w:rsidR="00C60388" w:rsidRPr="00D45B8C">
        <w:rPr>
          <w:rFonts w:asciiTheme="minorHAnsi" w:hAnsiTheme="minorHAnsi" w:cstheme="minorHAnsi"/>
          <w:sz w:val="22"/>
          <w:szCs w:val="22"/>
        </w:rPr>
        <w:t>y is</w:t>
      </w:r>
      <w:r w:rsidRPr="00D45B8C">
        <w:rPr>
          <w:rFonts w:asciiTheme="minorHAnsi" w:hAnsiTheme="minorHAnsi" w:cstheme="minorHAnsi"/>
          <w:sz w:val="22"/>
          <w:szCs w:val="22"/>
        </w:rPr>
        <w:t xml:space="preserve"> compliant with Federal laws prohibiting discrimination. Title IX requires that faculty, student employees and staff members report </w:t>
      </w:r>
      <w:r w:rsidR="00A42F22" w:rsidRPr="00D45B8C">
        <w:rPr>
          <w:rFonts w:asciiTheme="minorHAnsi" w:hAnsiTheme="minorHAnsi" w:cstheme="minorHAnsi"/>
          <w:sz w:val="22"/>
          <w:szCs w:val="22"/>
        </w:rPr>
        <w:t xml:space="preserve">to the university </w:t>
      </w:r>
      <w:r w:rsidRPr="00D45B8C">
        <w:rPr>
          <w:rFonts w:asciiTheme="minorHAnsi" w:hAnsiTheme="minorHAnsi" w:cstheme="minorHAnsi"/>
          <w:sz w:val="22"/>
          <w:szCs w:val="22"/>
        </w:rPr>
        <w:t xml:space="preserve">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r w:rsidR="00A42F22" w:rsidRPr="00E46209">
        <w:rPr>
          <w:rFonts w:asciiTheme="minorHAnsi" w:hAnsiTheme="minorHAnsi" w:cstheme="minorHAnsi"/>
          <w:sz w:val="22"/>
          <w:szCs w:val="22"/>
        </w:rPr>
        <w:t>http://www.ubalt.edu/titleix</w:t>
      </w:r>
      <w:r w:rsidRPr="00D45B8C">
        <w:rPr>
          <w:rFonts w:asciiTheme="minorHAnsi" w:hAnsiTheme="minorHAnsi" w:cstheme="minorHAnsi"/>
          <w:sz w:val="22"/>
          <w:szCs w:val="22"/>
        </w:rPr>
        <w:t>.</w:t>
      </w:r>
    </w:p>
    <w:p w:rsidR="00A42F22" w:rsidRPr="00D45B8C" w:rsidRDefault="00A42F22" w:rsidP="00163F36">
      <w:pPr>
        <w:pStyle w:val="Default"/>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sz w:val="22"/>
          <w:szCs w:val="22"/>
        </w:rPr>
      </w:pPr>
      <w:r w:rsidRPr="00FC7AE1">
        <w:rPr>
          <w:rFonts w:asciiTheme="minorHAnsi" w:hAnsiTheme="minorHAnsi" w:cstheme="minorHAnsi"/>
          <w:b/>
          <w:bCs/>
          <w:sz w:val="22"/>
          <w:szCs w:val="22"/>
        </w:rPr>
        <w:t>Disability Policy</w:t>
      </w:r>
      <w:r w:rsidR="00F552FE" w:rsidRPr="00FC7AE1">
        <w:rPr>
          <w:rFonts w:asciiTheme="minorHAnsi" w:hAnsiTheme="minorHAnsi" w:cstheme="minorHAnsi"/>
          <w:b/>
          <w:bCs/>
          <w:sz w:val="22"/>
          <w:szCs w:val="22"/>
        </w:rPr>
        <w:t>:</w:t>
      </w:r>
      <w:r w:rsidRPr="00D45B8C">
        <w:rPr>
          <w:rFonts w:asciiTheme="minorHAnsi" w:hAnsiTheme="minorHAnsi" w:cstheme="minorHAnsi"/>
          <w:b/>
          <w:bCs/>
          <w:sz w:val="22"/>
          <w:szCs w:val="22"/>
        </w:rPr>
        <w:t xml:space="preserve"> </w:t>
      </w:r>
    </w:p>
    <w:p w:rsidR="000271A9" w:rsidRPr="000271A9" w:rsidRDefault="000271A9" w:rsidP="000271A9">
      <w:pPr>
        <w:rPr>
          <w:rFonts w:asciiTheme="minorHAnsi" w:hAnsiTheme="minorHAnsi" w:cstheme="minorHAnsi"/>
          <w:sz w:val="22"/>
          <w:szCs w:val="22"/>
        </w:rPr>
      </w:pPr>
      <w:r w:rsidRPr="000271A9">
        <w:rPr>
          <w:rFonts w:asciiTheme="minorHAnsi" w:hAnsiTheme="minorHAnsi" w:cstheme="minorHAnsi"/>
          <w:sz w:val="22"/>
          <w:szCs w:val="22"/>
        </w:rPr>
        <w:t xml:space="preserve">If you are a student with a documented disability who requires an accommodation for academic programs, exams, or access to the University’s facilities, please contact the Office of Academic Affairs, at ublawacadaff@ubalt.edu or    </w:t>
      </w:r>
    </w:p>
    <w:p w:rsidR="000271A9" w:rsidRDefault="000271A9" w:rsidP="000271A9">
      <w:pPr>
        <w:rPr>
          <w:rFonts w:asciiTheme="minorHAnsi" w:hAnsiTheme="minorHAnsi" w:cstheme="minorHAnsi"/>
          <w:sz w:val="22"/>
          <w:szCs w:val="22"/>
        </w:rPr>
      </w:pPr>
      <w:r w:rsidRPr="000271A9">
        <w:rPr>
          <w:rFonts w:asciiTheme="minorHAnsi" w:hAnsiTheme="minorHAnsi" w:cstheme="minorHAnsi"/>
          <w:sz w:val="22"/>
          <w:szCs w:val="22"/>
        </w:rPr>
        <w:t>(410) 837-4468.</w:t>
      </w:r>
    </w:p>
    <w:p w:rsidR="000271A9" w:rsidRDefault="000271A9" w:rsidP="008E0BE7">
      <w:pPr>
        <w:rPr>
          <w:rFonts w:asciiTheme="minorHAnsi" w:hAnsiTheme="minorHAnsi" w:cstheme="minorHAnsi"/>
          <w:sz w:val="22"/>
          <w:szCs w:val="22"/>
        </w:rPr>
      </w:pPr>
    </w:p>
    <w:p w:rsidR="00A42F22" w:rsidRPr="00D45B8C" w:rsidRDefault="00A42F22" w:rsidP="008E0BE7">
      <w:pPr>
        <w:rPr>
          <w:rFonts w:asciiTheme="minorHAnsi" w:hAnsiTheme="minorHAnsi" w:cstheme="minorHAnsi"/>
          <w:sz w:val="22"/>
          <w:szCs w:val="22"/>
        </w:rPr>
      </w:pPr>
    </w:p>
    <w:p w:rsidR="008E0BE7" w:rsidRPr="00D45B8C" w:rsidRDefault="008E0BE7" w:rsidP="008E0BE7">
      <w:pPr>
        <w:pStyle w:val="Default"/>
        <w:rPr>
          <w:rFonts w:asciiTheme="minorHAnsi" w:hAnsiTheme="minorHAnsi" w:cstheme="minorHAnsi"/>
          <w:b/>
          <w:bCs/>
          <w:sz w:val="22"/>
          <w:szCs w:val="22"/>
        </w:rPr>
      </w:pPr>
      <w:r w:rsidRPr="00D45B8C">
        <w:rPr>
          <w:rFonts w:asciiTheme="minorHAnsi" w:hAnsiTheme="minorHAnsi" w:cstheme="minorHAnsi"/>
          <w:b/>
          <w:bCs/>
          <w:sz w:val="22"/>
          <w:szCs w:val="22"/>
        </w:rPr>
        <w:t>ASSIGNMENTS</w:t>
      </w:r>
      <w:r w:rsidR="0051632E">
        <w:rPr>
          <w:rFonts w:asciiTheme="minorHAnsi" w:hAnsiTheme="minorHAnsi" w:cstheme="minorHAnsi"/>
          <w:b/>
          <w:bCs/>
          <w:sz w:val="22"/>
          <w:szCs w:val="22"/>
        </w:rPr>
        <w:t>/ TENTATIVE CLASS SCHEDULE</w:t>
      </w:r>
    </w:p>
    <w:p w:rsidR="00B80CB2" w:rsidRPr="00D45B8C" w:rsidRDefault="00B80CB2" w:rsidP="008E0BE7">
      <w:pPr>
        <w:pStyle w:val="Default"/>
        <w:rPr>
          <w:rFonts w:asciiTheme="minorHAnsi" w:hAnsiTheme="minorHAnsi" w:cstheme="minorHAnsi"/>
          <w:sz w:val="22"/>
          <w:szCs w:val="22"/>
        </w:rPr>
      </w:pPr>
    </w:p>
    <w:p w:rsidR="002038AF" w:rsidRDefault="002038AF" w:rsidP="000630B5">
      <w:pPr>
        <w:ind w:firstLine="720"/>
        <w:rPr>
          <w:rFonts w:asciiTheme="minorHAnsi" w:hAnsiTheme="minorHAnsi"/>
          <w:sz w:val="22"/>
          <w:szCs w:val="22"/>
        </w:rPr>
      </w:pPr>
    </w:p>
    <w:p w:rsidR="002038AF" w:rsidRDefault="00BD2C34" w:rsidP="002038AF">
      <w:pPr>
        <w:rPr>
          <w:rFonts w:asciiTheme="minorHAnsi" w:hAnsiTheme="minorHAnsi"/>
          <w:sz w:val="22"/>
          <w:szCs w:val="22"/>
        </w:rPr>
      </w:pPr>
      <w:r>
        <w:rPr>
          <w:rFonts w:asciiTheme="minorHAnsi" w:hAnsiTheme="minorHAnsi"/>
          <w:sz w:val="22"/>
          <w:szCs w:val="22"/>
        </w:rPr>
        <w:t>January 15, 2020</w:t>
      </w:r>
      <w:r w:rsidR="0039658A">
        <w:rPr>
          <w:rFonts w:asciiTheme="minorHAnsi" w:hAnsiTheme="minorHAnsi"/>
          <w:sz w:val="22"/>
          <w:szCs w:val="22"/>
        </w:rPr>
        <w:tab/>
      </w:r>
      <w:r>
        <w:rPr>
          <w:rFonts w:asciiTheme="minorHAnsi" w:hAnsiTheme="minorHAnsi"/>
          <w:sz w:val="22"/>
          <w:szCs w:val="22"/>
        </w:rPr>
        <w:t xml:space="preserve">Introduction; </w:t>
      </w:r>
      <w:proofErr w:type="gramStart"/>
      <w:r>
        <w:rPr>
          <w:rFonts w:asciiTheme="minorHAnsi" w:hAnsiTheme="minorHAnsi"/>
          <w:sz w:val="22"/>
          <w:szCs w:val="22"/>
        </w:rPr>
        <w:t>The</w:t>
      </w:r>
      <w:proofErr w:type="gramEnd"/>
      <w:r>
        <w:rPr>
          <w:rFonts w:asciiTheme="minorHAnsi" w:hAnsiTheme="minorHAnsi"/>
          <w:sz w:val="22"/>
          <w:szCs w:val="22"/>
        </w:rPr>
        <w:t xml:space="preserve"> Role of Experts</w:t>
      </w:r>
    </w:p>
    <w:p w:rsidR="002038AF" w:rsidRPr="002038AF" w:rsidRDefault="00AD2586" w:rsidP="002038AF">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2038AF" w:rsidRPr="002038AF">
        <w:rPr>
          <w:rFonts w:asciiTheme="minorHAnsi" w:hAnsiTheme="minorHAnsi"/>
          <w:sz w:val="22"/>
          <w:szCs w:val="22"/>
        </w:rPr>
        <w:t>Federal Rules of Evidence 701, 702 and 703.</w:t>
      </w:r>
    </w:p>
    <w:p w:rsidR="002038AF" w:rsidRPr="002038AF" w:rsidRDefault="002038AF" w:rsidP="002038AF">
      <w:pPr>
        <w:ind w:left="2160"/>
        <w:rPr>
          <w:rFonts w:asciiTheme="minorHAnsi" w:hAnsiTheme="minorHAnsi"/>
          <w:sz w:val="22"/>
          <w:szCs w:val="22"/>
        </w:rPr>
      </w:pPr>
      <w:r w:rsidRPr="002038AF">
        <w:rPr>
          <w:rFonts w:asciiTheme="minorHAnsi" w:hAnsiTheme="minorHAnsi"/>
          <w:sz w:val="22"/>
          <w:szCs w:val="22"/>
        </w:rPr>
        <w:t>Maryland Rules 5-104, 5-401, 5-403, 5-602, 5-701, 5-702, 5-703, and 5-705.</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t>Cases:</w:t>
      </w:r>
      <w:r w:rsidRPr="002038AF">
        <w:rPr>
          <w:rFonts w:asciiTheme="minorHAnsi" w:hAnsiTheme="minorHAnsi"/>
          <w:sz w:val="22"/>
          <w:szCs w:val="22"/>
        </w:rPr>
        <w:tab/>
      </w:r>
      <w:r w:rsidRPr="002038AF">
        <w:rPr>
          <w:rFonts w:asciiTheme="minorHAnsi" w:hAnsiTheme="minorHAnsi"/>
          <w:sz w:val="22"/>
          <w:szCs w:val="22"/>
          <w:u w:val="single"/>
        </w:rPr>
        <w:t>Frye v. U.S.</w:t>
      </w:r>
      <w:r w:rsidRPr="002038AF">
        <w:rPr>
          <w:rFonts w:asciiTheme="minorHAnsi" w:hAnsiTheme="minorHAnsi"/>
          <w:sz w:val="22"/>
          <w:szCs w:val="22"/>
        </w:rPr>
        <w:t>, 293 F. 1013 (D.C. Cir. 1923).</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proofErr w:type="spellStart"/>
      <w:r w:rsidRPr="002038AF">
        <w:rPr>
          <w:rFonts w:asciiTheme="minorHAnsi" w:hAnsiTheme="minorHAnsi"/>
          <w:sz w:val="22"/>
          <w:szCs w:val="22"/>
          <w:u w:val="single"/>
        </w:rPr>
        <w:t>Daubert</w:t>
      </w:r>
      <w:proofErr w:type="spellEnd"/>
      <w:r w:rsidRPr="002038AF">
        <w:rPr>
          <w:rFonts w:asciiTheme="minorHAnsi" w:hAnsiTheme="minorHAnsi"/>
          <w:sz w:val="22"/>
          <w:szCs w:val="22"/>
          <w:u w:val="single"/>
        </w:rPr>
        <w:t xml:space="preserve"> v. Merrill Dow Pharmaceuticals, Inc</w:t>
      </w:r>
      <w:r w:rsidRPr="002038AF">
        <w:rPr>
          <w:rFonts w:asciiTheme="minorHAnsi" w:hAnsiTheme="minorHAnsi"/>
          <w:sz w:val="22"/>
          <w:szCs w:val="22"/>
        </w:rPr>
        <w:t>., 509 U.S. 579 (1993).</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u w:val="single"/>
        </w:rPr>
        <w:t>General Electric Co. v. Joiner</w:t>
      </w:r>
      <w:r w:rsidRPr="002038AF">
        <w:rPr>
          <w:rFonts w:asciiTheme="minorHAnsi" w:hAnsiTheme="minorHAnsi"/>
          <w:sz w:val="22"/>
          <w:szCs w:val="22"/>
        </w:rPr>
        <w:t>, 522 U.S. 136 (1997).</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proofErr w:type="spellStart"/>
      <w:r w:rsidRPr="002038AF">
        <w:rPr>
          <w:rFonts w:asciiTheme="minorHAnsi" w:hAnsiTheme="minorHAnsi"/>
          <w:sz w:val="22"/>
          <w:szCs w:val="22"/>
          <w:u w:val="single"/>
        </w:rPr>
        <w:t>Kumbo</w:t>
      </w:r>
      <w:proofErr w:type="spellEnd"/>
      <w:r w:rsidRPr="002038AF">
        <w:rPr>
          <w:rFonts w:asciiTheme="minorHAnsi" w:hAnsiTheme="minorHAnsi"/>
          <w:sz w:val="22"/>
          <w:szCs w:val="22"/>
          <w:u w:val="single"/>
        </w:rPr>
        <w:t xml:space="preserve"> Tire Co. v. Carmichael</w:t>
      </w:r>
      <w:r w:rsidRPr="002038AF">
        <w:rPr>
          <w:rFonts w:asciiTheme="minorHAnsi" w:hAnsiTheme="minorHAnsi"/>
          <w:sz w:val="22"/>
          <w:szCs w:val="22"/>
        </w:rPr>
        <w:t>, 526 U.S. 137 (1999).</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u w:val="single"/>
        </w:rPr>
        <w:t>Reed v. State</w:t>
      </w:r>
      <w:r w:rsidRPr="002038AF">
        <w:rPr>
          <w:rFonts w:asciiTheme="minorHAnsi" w:hAnsiTheme="minorHAnsi"/>
          <w:sz w:val="22"/>
          <w:szCs w:val="22"/>
        </w:rPr>
        <w:t>, 283 Md. 374, 381 A.2d 374 (1978).</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u w:val="single"/>
        </w:rPr>
        <w:t>Wilson v. State</w:t>
      </w:r>
      <w:r w:rsidRPr="002038AF">
        <w:rPr>
          <w:rFonts w:asciiTheme="minorHAnsi" w:hAnsiTheme="minorHAnsi"/>
          <w:sz w:val="22"/>
          <w:szCs w:val="22"/>
        </w:rPr>
        <w:t>, 370 Md. 191, 803 A.2d 1034 (2002).</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u w:val="single"/>
        </w:rPr>
        <w:t>Schultz v. State</w:t>
      </w:r>
      <w:r w:rsidRPr="002038AF">
        <w:rPr>
          <w:rFonts w:asciiTheme="minorHAnsi" w:hAnsiTheme="minorHAnsi"/>
          <w:sz w:val="22"/>
          <w:szCs w:val="22"/>
        </w:rPr>
        <w:t xml:space="preserve">, 106 </w:t>
      </w:r>
      <w:proofErr w:type="spellStart"/>
      <w:r w:rsidRPr="002038AF">
        <w:rPr>
          <w:rFonts w:asciiTheme="minorHAnsi" w:hAnsiTheme="minorHAnsi"/>
          <w:sz w:val="22"/>
          <w:szCs w:val="22"/>
        </w:rPr>
        <w:t>Md.App</w:t>
      </w:r>
      <w:proofErr w:type="spellEnd"/>
      <w:r w:rsidRPr="002038AF">
        <w:rPr>
          <w:rFonts w:asciiTheme="minorHAnsi" w:hAnsiTheme="minorHAnsi"/>
          <w:sz w:val="22"/>
          <w:szCs w:val="22"/>
        </w:rPr>
        <w:t>. 145, 664 A.2d 60 (1995).</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u w:val="single"/>
        </w:rPr>
        <w:t>Clemmons v. State</w:t>
      </w:r>
      <w:r w:rsidRPr="002038AF">
        <w:rPr>
          <w:rFonts w:asciiTheme="minorHAnsi" w:hAnsiTheme="minorHAnsi"/>
          <w:sz w:val="22"/>
          <w:szCs w:val="22"/>
        </w:rPr>
        <w:t>, 392 Md. 339, 896 A.2d 1059 (2006).</w:t>
      </w:r>
    </w:p>
    <w:p w:rsidR="002038AF" w:rsidRPr="002038AF" w:rsidRDefault="002038AF" w:rsidP="002038AF">
      <w:pPr>
        <w:rPr>
          <w:rFonts w:asciiTheme="minorHAnsi" w:hAnsiTheme="minorHAnsi"/>
          <w:sz w:val="22"/>
          <w:szCs w:val="22"/>
        </w:rPr>
      </w:pP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rPr>
        <w:tab/>
      </w:r>
      <w:r w:rsidRPr="002038AF">
        <w:rPr>
          <w:rFonts w:asciiTheme="minorHAnsi" w:hAnsiTheme="minorHAnsi"/>
          <w:sz w:val="22"/>
          <w:szCs w:val="22"/>
          <w:u w:val="single"/>
        </w:rPr>
        <w:t>Blackwell v. Wyeth</w:t>
      </w:r>
      <w:r w:rsidRPr="002038AF">
        <w:rPr>
          <w:rFonts w:asciiTheme="minorHAnsi" w:hAnsiTheme="minorHAnsi"/>
          <w:sz w:val="22"/>
          <w:szCs w:val="22"/>
        </w:rPr>
        <w:t>, 408 Md. 575, 971 A.2d 235 (2009).</w:t>
      </w:r>
    </w:p>
    <w:p w:rsidR="002038AF" w:rsidRPr="002038AF" w:rsidRDefault="002038AF" w:rsidP="002038AF">
      <w:pPr>
        <w:rPr>
          <w:rFonts w:asciiTheme="minorHAnsi" w:hAnsiTheme="minorHAnsi"/>
          <w:sz w:val="22"/>
          <w:szCs w:val="22"/>
        </w:rPr>
      </w:pPr>
    </w:p>
    <w:p w:rsidR="002038AF" w:rsidRPr="002038AF" w:rsidRDefault="00BD2C34" w:rsidP="002038AF">
      <w:pPr>
        <w:rPr>
          <w:rFonts w:asciiTheme="minorHAnsi" w:hAnsiTheme="minorHAnsi"/>
          <w:sz w:val="22"/>
          <w:szCs w:val="22"/>
        </w:rPr>
      </w:pPr>
      <w:r>
        <w:rPr>
          <w:rFonts w:asciiTheme="minorHAnsi" w:hAnsiTheme="minorHAnsi"/>
          <w:sz w:val="22"/>
          <w:szCs w:val="22"/>
        </w:rPr>
        <w:t>January 22, 2020</w:t>
      </w:r>
      <w:r w:rsidR="00AD2586">
        <w:rPr>
          <w:rFonts w:asciiTheme="minorHAnsi" w:hAnsiTheme="minorHAnsi"/>
          <w:sz w:val="22"/>
          <w:szCs w:val="22"/>
        </w:rPr>
        <w:tab/>
      </w:r>
      <w:proofErr w:type="gramStart"/>
      <w:r>
        <w:rPr>
          <w:rFonts w:asciiTheme="minorHAnsi" w:hAnsiTheme="minorHAnsi"/>
          <w:sz w:val="22"/>
          <w:szCs w:val="22"/>
        </w:rPr>
        <w:t>T</w:t>
      </w:r>
      <w:r w:rsidR="00AD2586">
        <w:rPr>
          <w:rFonts w:asciiTheme="minorHAnsi" w:hAnsiTheme="minorHAnsi"/>
          <w:sz w:val="22"/>
          <w:szCs w:val="22"/>
        </w:rPr>
        <w:t>he</w:t>
      </w:r>
      <w:proofErr w:type="gramEnd"/>
      <w:r w:rsidR="00AD2586">
        <w:rPr>
          <w:rFonts w:asciiTheme="minorHAnsi" w:hAnsiTheme="minorHAnsi"/>
          <w:sz w:val="22"/>
          <w:szCs w:val="22"/>
        </w:rPr>
        <w:t xml:space="preserve"> World after </w:t>
      </w:r>
      <w:proofErr w:type="spellStart"/>
      <w:r w:rsidR="00AD2586">
        <w:rPr>
          <w:rFonts w:asciiTheme="minorHAnsi" w:hAnsiTheme="minorHAnsi"/>
          <w:sz w:val="22"/>
          <w:szCs w:val="22"/>
        </w:rPr>
        <w:t>Daubert</w:t>
      </w:r>
      <w:proofErr w:type="spellEnd"/>
      <w:r>
        <w:rPr>
          <w:rFonts w:asciiTheme="minorHAnsi" w:hAnsiTheme="minorHAnsi"/>
          <w:sz w:val="22"/>
          <w:szCs w:val="22"/>
        </w:rPr>
        <w:t xml:space="preserve"> and T</w:t>
      </w:r>
      <w:r w:rsidR="00AD2586">
        <w:rPr>
          <w:rFonts w:asciiTheme="minorHAnsi" w:hAnsiTheme="minorHAnsi"/>
          <w:sz w:val="22"/>
          <w:szCs w:val="22"/>
        </w:rPr>
        <w:t>he Scientific Enterprise</w:t>
      </w:r>
    </w:p>
    <w:p w:rsidR="0029772E" w:rsidRDefault="0029772E" w:rsidP="002038AF">
      <w:pPr>
        <w:rPr>
          <w:rFonts w:asciiTheme="minorHAnsi" w:hAnsiTheme="minorHAnsi"/>
          <w:sz w:val="22"/>
          <w:szCs w:val="22"/>
        </w:rPr>
      </w:pPr>
    </w:p>
    <w:p w:rsidR="00AD2586" w:rsidRDefault="00BD2C34" w:rsidP="002038AF">
      <w:pPr>
        <w:rPr>
          <w:rFonts w:asciiTheme="minorHAnsi" w:hAnsiTheme="minorHAnsi"/>
          <w:sz w:val="22"/>
          <w:szCs w:val="22"/>
        </w:rPr>
      </w:pPr>
      <w:r>
        <w:rPr>
          <w:rFonts w:asciiTheme="minorHAnsi" w:hAnsiTheme="minorHAnsi"/>
          <w:sz w:val="22"/>
          <w:szCs w:val="22"/>
        </w:rPr>
        <w:t>January 29, 2020</w:t>
      </w:r>
      <w:r w:rsidR="002038AF" w:rsidRPr="002038AF">
        <w:rPr>
          <w:rFonts w:asciiTheme="minorHAnsi" w:hAnsiTheme="minorHAnsi"/>
          <w:sz w:val="22"/>
          <w:szCs w:val="22"/>
        </w:rPr>
        <w:tab/>
      </w:r>
      <w:r>
        <w:rPr>
          <w:rFonts w:asciiTheme="minorHAnsi" w:hAnsiTheme="minorHAnsi"/>
          <w:sz w:val="22"/>
          <w:szCs w:val="22"/>
        </w:rPr>
        <w:t>S</w:t>
      </w:r>
      <w:r w:rsidR="00AD2586">
        <w:rPr>
          <w:rFonts w:asciiTheme="minorHAnsi" w:hAnsiTheme="minorHAnsi"/>
          <w:sz w:val="22"/>
          <w:szCs w:val="22"/>
        </w:rPr>
        <w:t>cience and Law—When Worlds Collide</w:t>
      </w:r>
    </w:p>
    <w:p w:rsidR="00AD2586" w:rsidRDefault="00AD2586" w:rsidP="002038AF">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AD2586" w:rsidRDefault="00BD2C34" w:rsidP="002038AF">
      <w:pPr>
        <w:rPr>
          <w:rFonts w:asciiTheme="minorHAnsi" w:hAnsiTheme="minorHAnsi"/>
          <w:sz w:val="22"/>
          <w:szCs w:val="22"/>
        </w:rPr>
      </w:pPr>
      <w:r>
        <w:rPr>
          <w:rFonts w:asciiTheme="minorHAnsi" w:hAnsiTheme="minorHAnsi"/>
          <w:sz w:val="22"/>
          <w:szCs w:val="22"/>
        </w:rPr>
        <w:t>February 5, 2020</w:t>
      </w:r>
      <w:r w:rsidR="00AD2586">
        <w:rPr>
          <w:rFonts w:asciiTheme="minorHAnsi" w:hAnsiTheme="minorHAnsi"/>
          <w:sz w:val="22"/>
          <w:szCs w:val="22"/>
        </w:rPr>
        <w:tab/>
      </w:r>
      <w:r>
        <w:rPr>
          <w:rFonts w:asciiTheme="minorHAnsi" w:hAnsiTheme="minorHAnsi"/>
          <w:sz w:val="22"/>
          <w:szCs w:val="22"/>
        </w:rPr>
        <w:t>C</w:t>
      </w:r>
      <w:r w:rsidR="00AD2586">
        <w:rPr>
          <w:rFonts w:asciiTheme="minorHAnsi" w:hAnsiTheme="minorHAnsi"/>
          <w:sz w:val="22"/>
          <w:szCs w:val="22"/>
        </w:rPr>
        <w:t>riminal Forensic Science</w:t>
      </w:r>
      <w:r>
        <w:rPr>
          <w:rFonts w:asciiTheme="minorHAnsi" w:hAnsiTheme="minorHAnsi"/>
          <w:sz w:val="22"/>
          <w:szCs w:val="22"/>
        </w:rPr>
        <w:t xml:space="preserve"> and </w:t>
      </w:r>
      <w:proofErr w:type="gramStart"/>
      <w:r>
        <w:rPr>
          <w:rFonts w:asciiTheme="minorHAnsi" w:hAnsiTheme="minorHAnsi"/>
          <w:sz w:val="22"/>
          <w:szCs w:val="22"/>
        </w:rPr>
        <w:t>T</w:t>
      </w:r>
      <w:r w:rsidR="00DE28D0">
        <w:rPr>
          <w:rFonts w:asciiTheme="minorHAnsi" w:hAnsiTheme="minorHAnsi"/>
          <w:sz w:val="22"/>
          <w:szCs w:val="22"/>
        </w:rPr>
        <w:t>he</w:t>
      </w:r>
      <w:proofErr w:type="gramEnd"/>
      <w:r w:rsidR="00DE28D0">
        <w:rPr>
          <w:rFonts w:asciiTheme="minorHAnsi" w:hAnsiTheme="minorHAnsi"/>
          <w:sz w:val="22"/>
          <w:szCs w:val="22"/>
        </w:rPr>
        <w:t xml:space="preserve"> C</w:t>
      </w:r>
      <w:r w:rsidR="00AD2586">
        <w:rPr>
          <w:rFonts w:asciiTheme="minorHAnsi" w:hAnsiTheme="minorHAnsi"/>
          <w:sz w:val="22"/>
          <w:szCs w:val="22"/>
        </w:rPr>
        <w:t>rime Laboratory</w:t>
      </w:r>
    </w:p>
    <w:p w:rsidR="00AD2586" w:rsidRDefault="00AD2586" w:rsidP="002038AF">
      <w:pPr>
        <w:rPr>
          <w:rFonts w:asciiTheme="minorHAnsi" w:hAnsiTheme="minorHAnsi"/>
          <w:sz w:val="22"/>
          <w:szCs w:val="22"/>
        </w:rPr>
      </w:pPr>
    </w:p>
    <w:p w:rsidR="00AD2586" w:rsidRDefault="00F65697" w:rsidP="002038AF">
      <w:pPr>
        <w:rPr>
          <w:rFonts w:asciiTheme="minorHAnsi" w:hAnsiTheme="minorHAnsi"/>
          <w:sz w:val="22"/>
          <w:szCs w:val="22"/>
        </w:rPr>
      </w:pPr>
      <w:r>
        <w:rPr>
          <w:rFonts w:asciiTheme="minorHAnsi" w:hAnsiTheme="minorHAnsi"/>
          <w:sz w:val="22"/>
          <w:szCs w:val="22"/>
        </w:rPr>
        <w:t xml:space="preserve">February </w:t>
      </w:r>
      <w:r w:rsidR="00BD2C34">
        <w:rPr>
          <w:rFonts w:asciiTheme="minorHAnsi" w:hAnsiTheme="minorHAnsi"/>
          <w:sz w:val="22"/>
          <w:szCs w:val="22"/>
        </w:rPr>
        <w:t>12, 2020</w:t>
      </w:r>
      <w:r w:rsidR="00BD2C34">
        <w:rPr>
          <w:rFonts w:asciiTheme="minorHAnsi" w:hAnsiTheme="minorHAnsi"/>
          <w:sz w:val="22"/>
          <w:szCs w:val="22"/>
        </w:rPr>
        <w:tab/>
      </w:r>
      <w:r w:rsidR="00AD2586">
        <w:rPr>
          <w:rFonts w:asciiTheme="minorHAnsi" w:hAnsiTheme="minorHAnsi"/>
          <w:sz w:val="22"/>
          <w:szCs w:val="22"/>
        </w:rPr>
        <w:t>Crime Scene</w:t>
      </w:r>
      <w:r w:rsidR="00BD2C34">
        <w:rPr>
          <w:rFonts w:asciiTheme="minorHAnsi" w:hAnsiTheme="minorHAnsi"/>
          <w:sz w:val="22"/>
          <w:szCs w:val="22"/>
        </w:rPr>
        <w:t xml:space="preserve"> and </w:t>
      </w:r>
      <w:r w:rsidR="00AD2586">
        <w:rPr>
          <w:rFonts w:asciiTheme="minorHAnsi" w:hAnsiTheme="minorHAnsi"/>
          <w:sz w:val="22"/>
          <w:szCs w:val="22"/>
        </w:rPr>
        <w:t>Physical Evidence</w:t>
      </w:r>
    </w:p>
    <w:p w:rsidR="00AD2586" w:rsidRDefault="00AD2586" w:rsidP="002038AF">
      <w:pPr>
        <w:rPr>
          <w:rFonts w:asciiTheme="minorHAnsi" w:hAnsiTheme="minorHAnsi"/>
          <w:sz w:val="22"/>
          <w:szCs w:val="22"/>
        </w:rPr>
      </w:pPr>
    </w:p>
    <w:p w:rsidR="00AD2586" w:rsidRDefault="00BD2C34" w:rsidP="002038AF">
      <w:pPr>
        <w:rPr>
          <w:rFonts w:asciiTheme="minorHAnsi" w:hAnsiTheme="minorHAnsi"/>
          <w:sz w:val="22"/>
          <w:szCs w:val="22"/>
        </w:rPr>
      </w:pPr>
      <w:r>
        <w:rPr>
          <w:rFonts w:asciiTheme="minorHAnsi" w:hAnsiTheme="minorHAnsi"/>
          <w:sz w:val="22"/>
          <w:szCs w:val="22"/>
        </w:rPr>
        <w:t>February 19, 2020</w:t>
      </w:r>
      <w:r>
        <w:rPr>
          <w:rFonts w:asciiTheme="minorHAnsi" w:hAnsiTheme="minorHAnsi"/>
          <w:sz w:val="22"/>
          <w:szCs w:val="22"/>
        </w:rPr>
        <w:tab/>
      </w:r>
      <w:r w:rsidR="00AD2586">
        <w:rPr>
          <w:rFonts w:asciiTheme="minorHAnsi" w:hAnsiTheme="minorHAnsi"/>
          <w:sz w:val="22"/>
          <w:szCs w:val="22"/>
        </w:rPr>
        <w:t>Latent Fingerprints</w:t>
      </w:r>
      <w:r>
        <w:rPr>
          <w:rFonts w:asciiTheme="minorHAnsi" w:hAnsiTheme="minorHAnsi"/>
          <w:sz w:val="22"/>
          <w:szCs w:val="22"/>
        </w:rPr>
        <w:t xml:space="preserve"> and </w:t>
      </w:r>
      <w:r w:rsidR="00AD2586">
        <w:rPr>
          <w:rFonts w:asciiTheme="minorHAnsi" w:hAnsiTheme="minorHAnsi"/>
          <w:sz w:val="22"/>
          <w:szCs w:val="22"/>
        </w:rPr>
        <w:t xml:space="preserve">Firearms and </w:t>
      </w:r>
      <w:proofErr w:type="spellStart"/>
      <w:r w:rsidR="00AD2586">
        <w:rPr>
          <w:rFonts w:asciiTheme="minorHAnsi" w:hAnsiTheme="minorHAnsi"/>
          <w:sz w:val="22"/>
          <w:szCs w:val="22"/>
        </w:rPr>
        <w:t>Toolmarks</w:t>
      </w:r>
      <w:proofErr w:type="spellEnd"/>
    </w:p>
    <w:p w:rsidR="00DE28D0" w:rsidRPr="00DE28D0" w:rsidRDefault="00DE28D0" w:rsidP="00DE28D0">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E28D0">
        <w:rPr>
          <w:rFonts w:asciiTheme="minorHAnsi" w:hAnsiTheme="minorHAnsi"/>
          <w:sz w:val="22"/>
          <w:szCs w:val="22"/>
        </w:rPr>
        <w:t>McNeil v. State, 227 Md. 298, 176 A.2d 338 (1961).</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r>
      <w:proofErr w:type="spellStart"/>
      <w:r w:rsidRPr="00DE28D0">
        <w:rPr>
          <w:rFonts w:asciiTheme="minorHAnsi" w:hAnsiTheme="minorHAnsi"/>
          <w:sz w:val="22"/>
          <w:szCs w:val="22"/>
        </w:rPr>
        <w:t>Eley</w:t>
      </w:r>
      <w:proofErr w:type="spellEnd"/>
      <w:r w:rsidRPr="00DE28D0">
        <w:rPr>
          <w:rFonts w:asciiTheme="minorHAnsi" w:hAnsiTheme="minorHAnsi"/>
          <w:sz w:val="22"/>
          <w:szCs w:val="22"/>
        </w:rPr>
        <w:t xml:space="preserve"> v. State, 288 Md. 548, 419 A.2d 384 (1980).</w:t>
      </w:r>
    </w:p>
    <w:p w:rsidR="00DE28D0" w:rsidRPr="00DE28D0" w:rsidRDefault="00DE28D0" w:rsidP="00DE28D0">
      <w:pPr>
        <w:ind w:left="1440" w:firstLine="720"/>
        <w:rPr>
          <w:rFonts w:asciiTheme="minorHAnsi" w:hAnsiTheme="minorHAnsi"/>
          <w:sz w:val="22"/>
          <w:szCs w:val="22"/>
        </w:rPr>
      </w:pPr>
      <w:r w:rsidRPr="00DE28D0">
        <w:rPr>
          <w:rFonts w:asciiTheme="minorHAnsi" w:hAnsiTheme="minorHAnsi"/>
          <w:sz w:val="22"/>
          <w:szCs w:val="22"/>
        </w:rPr>
        <w:t>Colvin v. State, 299 Md. 88, 472 A.2d 953 (1984).</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 xml:space="preserve">Bailey v. State, 63 </w:t>
      </w:r>
      <w:proofErr w:type="spellStart"/>
      <w:r w:rsidRPr="00DE28D0">
        <w:rPr>
          <w:rFonts w:asciiTheme="minorHAnsi" w:hAnsiTheme="minorHAnsi"/>
          <w:sz w:val="22"/>
          <w:szCs w:val="22"/>
        </w:rPr>
        <w:t>Md.App</w:t>
      </w:r>
      <w:proofErr w:type="spellEnd"/>
      <w:r w:rsidRPr="00DE28D0">
        <w:rPr>
          <w:rFonts w:asciiTheme="minorHAnsi" w:hAnsiTheme="minorHAnsi"/>
          <w:sz w:val="22"/>
          <w:szCs w:val="22"/>
        </w:rPr>
        <w:t>. 594, 493 A.2d 376 (1985).</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Sample v. State, 314 Md. 202, 550 A.2d 661 (1988).</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 xml:space="preserve">Wise v. State, 132 </w:t>
      </w:r>
      <w:proofErr w:type="spellStart"/>
      <w:r w:rsidRPr="00DE28D0">
        <w:rPr>
          <w:rFonts w:asciiTheme="minorHAnsi" w:hAnsiTheme="minorHAnsi"/>
          <w:sz w:val="22"/>
          <w:szCs w:val="22"/>
        </w:rPr>
        <w:t>Md.App</w:t>
      </w:r>
      <w:proofErr w:type="spellEnd"/>
      <w:r w:rsidRPr="00DE28D0">
        <w:rPr>
          <w:rFonts w:asciiTheme="minorHAnsi" w:hAnsiTheme="minorHAnsi"/>
          <w:sz w:val="22"/>
          <w:szCs w:val="22"/>
        </w:rPr>
        <w:t>. 127, 751 A.2d 24 (2000).</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 xml:space="preserve">Markham v. State, 189 </w:t>
      </w:r>
      <w:proofErr w:type="spellStart"/>
      <w:r w:rsidRPr="00DE28D0">
        <w:rPr>
          <w:rFonts w:asciiTheme="minorHAnsi" w:hAnsiTheme="minorHAnsi"/>
          <w:sz w:val="22"/>
          <w:szCs w:val="22"/>
        </w:rPr>
        <w:t>Md.App</w:t>
      </w:r>
      <w:proofErr w:type="spellEnd"/>
      <w:r w:rsidRPr="00DE28D0">
        <w:rPr>
          <w:rFonts w:asciiTheme="minorHAnsi" w:hAnsiTheme="minorHAnsi"/>
          <w:sz w:val="22"/>
          <w:szCs w:val="22"/>
        </w:rPr>
        <w:t>. 140, 984 A.2d 262 (2009).</w:t>
      </w:r>
    </w:p>
    <w:p w:rsid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r>
    </w:p>
    <w:p w:rsidR="00AD2586" w:rsidRDefault="00AD2586" w:rsidP="002038AF">
      <w:pPr>
        <w:rPr>
          <w:rFonts w:asciiTheme="minorHAnsi" w:hAnsiTheme="minorHAnsi"/>
          <w:sz w:val="22"/>
          <w:szCs w:val="22"/>
        </w:rPr>
      </w:pPr>
    </w:p>
    <w:p w:rsidR="00AD2586" w:rsidRDefault="00BD2C34" w:rsidP="002038AF">
      <w:pPr>
        <w:rPr>
          <w:rFonts w:asciiTheme="minorHAnsi" w:hAnsiTheme="minorHAnsi"/>
          <w:sz w:val="22"/>
          <w:szCs w:val="22"/>
        </w:rPr>
      </w:pPr>
      <w:r>
        <w:rPr>
          <w:rFonts w:asciiTheme="minorHAnsi" w:hAnsiTheme="minorHAnsi"/>
          <w:sz w:val="22"/>
          <w:szCs w:val="22"/>
        </w:rPr>
        <w:t>February 26, 2020</w:t>
      </w:r>
      <w:r>
        <w:rPr>
          <w:rFonts w:asciiTheme="minorHAnsi" w:hAnsiTheme="minorHAnsi"/>
          <w:sz w:val="22"/>
          <w:szCs w:val="22"/>
        </w:rPr>
        <w:tab/>
      </w:r>
      <w:r w:rsidR="00AD2586">
        <w:rPr>
          <w:rFonts w:asciiTheme="minorHAnsi" w:hAnsiTheme="minorHAnsi"/>
          <w:sz w:val="22"/>
          <w:szCs w:val="22"/>
        </w:rPr>
        <w:t>DNA Evidence</w:t>
      </w:r>
    </w:p>
    <w:p w:rsidR="00F65697" w:rsidRPr="00F65697" w:rsidRDefault="00F65697" w:rsidP="00F65697">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F65697">
        <w:rPr>
          <w:rFonts w:asciiTheme="minorHAnsi" w:hAnsiTheme="minorHAnsi"/>
          <w:sz w:val="22"/>
          <w:szCs w:val="22"/>
        </w:rPr>
        <w:t>Armstead v. State, 342 Md. 38, 673 A.2d 221 (1996).</w:t>
      </w:r>
    </w:p>
    <w:p w:rsidR="00F65697" w:rsidRPr="00F65697" w:rsidRDefault="00F65697" w:rsidP="00F65697">
      <w:pPr>
        <w:rPr>
          <w:rFonts w:asciiTheme="minorHAnsi" w:hAnsiTheme="minorHAnsi"/>
          <w:sz w:val="22"/>
          <w:szCs w:val="22"/>
        </w:rPr>
      </w:pPr>
      <w:r w:rsidRPr="00F65697">
        <w:rPr>
          <w:rFonts w:asciiTheme="minorHAnsi" w:hAnsiTheme="minorHAnsi"/>
          <w:sz w:val="22"/>
          <w:szCs w:val="22"/>
        </w:rPr>
        <w:tab/>
      </w:r>
      <w:r w:rsidRPr="00F65697">
        <w:rPr>
          <w:rFonts w:asciiTheme="minorHAnsi" w:hAnsiTheme="minorHAnsi"/>
          <w:sz w:val="22"/>
          <w:szCs w:val="22"/>
        </w:rPr>
        <w:tab/>
      </w:r>
      <w:r w:rsidRPr="00F65697">
        <w:rPr>
          <w:rFonts w:asciiTheme="minorHAnsi" w:hAnsiTheme="minorHAnsi"/>
          <w:sz w:val="22"/>
          <w:szCs w:val="22"/>
        </w:rPr>
        <w:tab/>
        <w:t xml:space="preserve">Robinson v. State, 151 </w:t>
      </w:r>
      <w:proofErr w:type="spellStart"/>
      <w:r w:rsidRPr="00F65697">
        <w:rPr>
          <w:rFonts w:asciiTheme="minorHAnsi" w:hAnsiTheme="minorHAnsi"/>
          <w:sz w:val="22"/>
          <w:szCs w:val="22"/>
        </w:rPr>
        <w:t>Md.App</w:t>
      </w:r>
      <w:proofErr w:type="spellEnd"/>
      <w:r w:rsidRPr="00F65697">
        <w:rPr>
          <w:rFonts w:asciiTheme="minorHAnsi" w:hAnsiTheme="minorHAnsi"/>
          <w:sz w:val="22"/>
          <w:szCs w:val="22"/>
        </w:rPr>
        <w:t>. 384, 827 A.2d 167 (2003).</w:t>
      </w:r>
    </w:p>
    <w:p w:rsidR="00F65697" w:rsidRPr="00F65697" w:rsidRDefault="00F65697" w:rsidP="00F65697">
      <w:pPr>
        <w:rPr>
          <w:rFonts w:asciiTheme="minorHAnsi" w:hAnsiTheme="minorHAnsi"/>
          <w:sz w:val="22"/>
          <w:szCs w:val="22"/>
        </w:rPr>
      </w:pPr>
      <w:r w:rsidRPr="00F65697">
        <w:rPr>
          <w:rFonts w:asciiTheme="minorHAnsi" w:hAnsiTheme="minorHAnsi"/>
          <w:sz w:val="22"/>
          <w:szCs w:val="22"/>
        </w:rPr>
        <w:tab/>
      </w:r>
      <w:r w:rsidRPr="00F65697">
        <w:rPr>
          <w:rFonts w:asciiTheme="minorHAnsi" w:hAnsiTheme="minorHAnsi"/>
          <w:sz w:val="22"/>
          <w:szCs w:val="22"/>
        </w:rPr>
        <w:tab/>
      </w:r>
      <w:r w:rsidRPr="00F65697">
        <w:rPr>
          <w:rFonts w:asciiTheme="minorHAnsi" w:hAnsiTheme="minorHAnsi"/>
          <w:sz w:val="22"/>
          <w:szCs w:val="22"/>
        </w:rPr>
        <w:tab/>
        <w:t xml:space="preserve">Wagner v. State, 160 </w:t>
      </w:r>
      <w:proofErr w:type="spellStart"/>
      <w:r w:rsidRPr="00F65697">
        <w:rPr>
          <w:rFonts w:asciiTheme="minorHAnsi" w:hAnsiTheme="minorHAnsi"/>
          <w:sz w:val="22"/>
          <w:szCs w:val="22"/>
        </w:rPr>
        <w:t>Md.App</w:t>
      </w:r>
      <w:proofErr w:type="spellEnd"/>
      <w:r w:rsidRPr="00F65697">
        <w:rPr>
          <w:rFonts w:asciiTheme="minorHAnsi" w:hAnsiTheme="minorHAnsi"/>
          <w:sz w:val="22"/>
          <w:szCs w:val="22"/>
        </w:rPr>
        <w:t>. 531, 864 A.2d 1037 (2005).</w:t>
      </w:r>
    </w:p>
    <w:p w:rsidR="00F65697" w:rsidRPr="00F65697" w:rsidRDefault="00F65697" w:rsidP="00F65697">
      <w:pPr>
        <w:rPr>
          <w:rFonts w:asciiTheme="minorHAnsi" w:hAnsiTheme="minorHAnsi"/>
          <w:sz w:val="22"/>
          <w:szCs w:val="22"/>
        </w:rPr>
      </w:pPr>
      <w:r w:rsidRPr="00F65697">
        <w:rPr>
          <w:rFonts w:asciiTheme="minorHAnsi" w:hAnsiTheme="minorHAnsi"/>
          <w:sz w:val="22"/>
          <w:szCs w:val="22"/>
        </w:rPr>
        <w:lastRenderedPageBreak/>
        <w:tab/>
      </w:r>
      <w:r w:rsidRPr="00F65697">
        <w:rPr>
          <w:rFonts w:asciiTheme="minorHAnsi" w:hAnsiTheme="minorHAnsi"/>
          <w:sz w:val="22"/>
          <w:szCs w:val="22"/>
        </w:rPr>
        <w:tab/>
      </w:r>
      <w:r w:rsidRPr="00F65697">
        <w:rPr>
          <w:rFonts w:asciiTheme="minorHAnsi" w:hAnsiTheme="minorHAnsi"/>
          <w:sz w:val="22"/>
          <w:szCs w:val="22"/>
        </w:rPr>
        <w:tab/>
        <w:t>Young v. State, 388 Md. 99, 879 A.2d 44 (2005).</w:t>
      </w:r>
    </w:p>
    <w:p w:rsidR="00F65697" w:rsidRPr="00F65697" w:rsidRDefault="00F65697" w:rsidP="00F65697">
      <w:pPr>
        <w:rPr>
          <w:rFonts w:asciiTheme="minorHAnsi" w:hAnsiTheme="minorHAnsi"/>
          <w:sz w:val="22"/>
          <w:szCs w:val="22"/>
        </w:rPr>
      </w:pPr>
      <w:r w:rsidRPr="00F65697">
        <w:rPr>
          <w:rFonts w:asciiTheme="minorHAnsi" w:hAnsiTheme="minorHAnsi"/>
          <w:sz w:val="22"/>
          <w:szCs w:val="22"/>
        </w:rPr>
        <w:tab/>
      </w:r>
      <w:r w:rsidRPr="00F65697">
        <w:rPr>
          <w:rFonts w:asciiTheme="minorHAnsi" w:hAnsiTheme="minorHAnsi"/>
          <w:sz w:val="22"/>
          <w:szCs w:val="22"/>
        </w:rPr>
        <w:tab/>
      </w:r>
      <w:r w:rsidRPr="00F65697">
        <w:rPr>
          <w:rFonts w:asciiTheme="minorHAnsi" w:hAnsiTheme="minorHAnsi"/>
          <w:sz w:val="22"/>
          <w:szCs w:val="22"/>
        </w:rPr>
        <w:tab/>
        <w:t>Williamson v. State, 413 Md. 521, 993 A.2d 626 (2010).</w:t>
      </w:r>
    </w:p>
    <w:p w:rsidR="00F65697" w:rsidRPr="00F65697" w:rsidRDefault="00F65697" w:rsidP="00F65697">
      <w:pPr>
        <w:rPr>
          <w:rFonts w:asciiTheme="minorHAnsi" w:hAnsiTheme="minorHAnsi"/>
          <w:sz w:val="22"/>
          <w:szCs w:val="22"/>
        </w:rPr>
      </w:pPr>
      <w:r w:rsidRPr="00F65697">
        <w:rPr>
          <w:rFonts w:asciiTheme="minorHAnsi" w:hAnsiTheme="minorHAnsi"/>
          <w:sz w:val="22"/>
          <w:szCs w:val="22"/>
        </w:rPr>
        <w:tab/>
      </w:r>
      <w:r w:rsidRPr="00F65697">
        <w:rPr>
          <w:rFonts w:asciiTheme="minorHAnsi" w:hAnsiTheme="minorHAnsi"/>
          <w:sz w:val="22"/>
          <w:szCs w:val="22"/>
        </w:rPr>
        <w:tab/>
      </w:r>
      <w:r w:rsidRPr="00F65697">
        <w:rPr>
          <w:rFonts w:asciiTheme="minorHAnsi" w:hAnsiTheme="minorHAnsi"/>
          <w:sz w:val="22"/>
          <w:szCs w:val="22"/>
        </w:rPr>
        <w:tab/>
        <w:t xml:space="preserve">Md. Code Ann., </w:t>
      </w:r>
      <w:proofErr w:type="spellStart"/>
      <w:r w:rsidRPr="00F65697">
        <w:rPr>
          <w:rFonts w:asciiTheme="minorHAnsi" w:hAnsiTheme="minorHAnsi"/>
          <w:sz w:val="22"/>
          <w:szCs w:val="22"/>
        </w:rPr>
        <w:t>Cts</w:t>
      </w:r>
      <w:proofErr w:type="spellEnd"/>
      <w:r w:rsidRPr="00F65697">
        <w:rPr>
          <w:rFonts w:asciiTheme="minorHAnsi" w:hAnsiTheme="minorHAnsi"/>
          <w:sz w:val="22"/>
          <w:szCs w:val="22"/>
        </w:rPr>
        <w:t>. &amp; Jud. Proc. §10-915</w:t>
      </w:r>
    </w:p>
    <w:p w:rsidR="00F65697" w:rsidRDefault="00F65697" w:rsidP="00F65697">
      <w:pPr>
        <w:rPr>
          <w:rFonts w:asciiTheme="minorHAnsi" w:hAnsiTheme="minorHAnsi"/>
          <w:sz w:val="22"/>
          <w:szCs w:val="22"/>
        </w:rPr>
      </w:pPr>
      <w:r w:rsidRPr="00F65697">
        <w:rPr>
          <w:rFonts w:asciiTheme="minorHAnsi" w:hAnsiTheme="minorHAnsi"/>
          <w:sz w:val="22"/>
          <w:szCs w:val="22"/>
        </w:rPr>
        <w:tab/>
      </w:r>
      <w:r w:rsidRPr="00F65697">
        <w:rPr>
          <w:rFonts w:asciiTheme="minorHAnsi" w:hAnsiTheme="minorHAnsi"/>
          <w:sz w:val="22"/>
          <w:szCs w:val="22"/>
        </w:rPr>
        <w:tab/>
      </w:r>
      <w:r w:rsidRPr="00F65697">
        <w:rPr>
          <w:rFonts w:asciiTheme="minorHAnsi" w:hAnsiTheme="minorHAnsi"/>
          <w:sz w:val="22"/>
          <w:szCs w:val="22"/>
        </w:rPr>
        <w:tab/>
        <w:t xml:space="preserve">Md. Code Ann., </w:t>
      </w:r>
      <w:proofErr w:type="spellStart"/>
      <w:r w:rsidRPr="00F65697">
        <w:rPr>
          <w:rFonts w:asciiTheme="minorHAnsi" w:hAnsiTheme="minorHAnsi"/>
          <w:sz w:val="22"/>
          <w:szCs w:val="22"/>
        </w:rPr>
        <w:t>Cts</w:t>
      </w:r>
      <w:proofErr w:type="spellEnd"/>
      <w:r w:rsidRPr="00F65697">
        <w:rPr>
          <w:rFonts w:asciiTheme="minorHAnsi" w:hAnsiTheme="minorHAnsi"/>
          <w:sz w:val="22"/>
          <w:szCs w:val="22"/>
        </w:rPr>
        <w:t>. &amp; Jud. Proc. §§ 2-501-512.</w:t>
      </w:r>
    </w:p>
    <w:p w:rsidR="00AD2586" w:rsidRDefault="00AD2586" w:rsidP="002038AF">
      <w:pPr>
        <w:rPr>
          <w:rFonts w:asciiTheme="minorHAnsi" w:hAnsiTheme="minorHAnsi"/>
          <w:sz w:val="22"/>
          <w:szCs w:val="22"/>
        </w:rPr>
      </w:pPr>
    </w:p>
    <w:p w:rsidR="00AD2586" w:rsidRDefault="00BD2C34" w:rsidP="002038AF">
      <w:pPr>
        <w:rPr>
          <w:rFonts w:asciiTheme="minorHAnsi" w:hAnsiTheme="minorHAnsi"/>
          <w:sz w:val="22"/>
          <w:szCs w:val="22"/>
        </w:rPr>
      </w:pPr>
      <w:r>
        <w:rPr>
          <w:rFonts w:asciiTheme="minorHAnsi" w:hAnsiTheme="minorHAnsi"/>
          <w:sz w:val="22"/>
          <w:szCs w:val="22"/>
        </w:rPr>
        <w:t>March 4, 2020</w:t>
      </w:r>
      <w:r>
        <w:rPr>
          <w:rFonts w:asciiTheme="minorHAnsi" w:hAnsiTheme="minorHAnsi"/>
          <w:sz w:val="22"/>
          <w:szCs w:val="22"/>
        </w:rPr>
        <w:tab/>
      </w:r>
      <w:r>
        <w:rPr>
          <w:rFonts w:asciiTheme="minorHAnsi" w:hAnsiTheme="minorHAnsi"/>
          <w:sz w:val="22"/>
          <w:szCs w:val="22"/>
        </w:rPr>
        <w:tab/>
      </w:r>
      <w:r w:rsidR="00AD2586">
        <w:rPr>
          <w:rFonts w:asciiTheme="minorHAnsi" w:hAnsiTheme="minorHAnsi"/>
          <w:sz w:val="22"/>
          <w:szCs w:val="22"/>
        </w:rPr>
        <w:t>Trace Evidence</w:t>
      </w:r>
      <w:r>
        <w:rPr>
          <w:rFonts w:asciiTheme="minorHAnsi" w:hAnsiTheme="minorHAnsi"/>
          <w:sz w:val="22"/>
          <w:szCs w:val="22"/>
        </w:rPr>
        <w:t xml:space="preserve"> and F</w:t>
      </w:r>
      <w:r w:rsidR="00AD2586">
        <w:rPr>
          <w:rFonts w:asciiTheme="minorHAnsi" w:hAnsiTheme="minorHAnsi"/>
          <w:sz w:val="22"/>
          <w:szCs w:val="22"/>
        </w:rPr>
        <w:t>orensic Nursing</w:t>
      </w:r>
    </w:p>
    <w:p w:rsidR="00AD2586" w:rsidRDefault="00AD2586" w:rsidP="002038AF">
      <w:pPr>
        <w:rPr>
          <w:rFonts w:asciiTheme="minorHAnsi" w:hAnsiTheme="minorHAnsi"/>
          <w:sz w:val="22"/>
          <w:szCs w:val="22"/>
        </w:rPr>
      </w:pPr>
    </w:p>
    <w:p w:rsidR="00DE28D0" w:rsidRDefault="00BD2C34" w:rsidP="002038AF">
      <w:pPr>
        <w:rPr>
          <w:rFonts w:asciiTheme="minorHAnsi" w:hAnsiTheme="minorHAnsi"/>
          <w:sz w:val="22"/>
          <w:szCs w:val="22"/>
        </w:rPr>
      </w:pPr>
      <w:r>
        <w:rPr>
          <w:rFonts w:asciiTheme="minorHAnsi" w:hAnsiTheme="minorHAnsi"/>
          <w:sz w:val="22"/>
          <w:szCs w:val="22"/>
        </w:rPr>
        <w:t>March 11, 2020</w:t>
      </w:r>
      <w:r w:rsidR="00F65697">
        <w:rPr>
          <w:rFonts w:asciiTheme="minorHAnsi" w:hAnsiTheme="minorHAnsi"/>
          <w:sz w:val="22"/>
          <w:szCs w:val="22"/>
        </w:rPr>
        <w:tab/>
      </w:r>
      <w:r w:rsidR="00F65697">
        <w:rPr>
          <w:rFonts w:asciiTheme="minorHAnsi" w:hAnsiTheme="minorHAnsi"/>
          <w:sz w:val="22"/>
          <w:szCs w:val="22"/>
        </w:rPr>
        <w:tab/>
      </w:r>
      <w:r w:rsidR="002E5271">
        <w:rPr>
          <w:rFonts w:asciiTheme="minorHAnsi" w:hAnsiTheme="minorHAnsi"/>
          <w:sz w:val="22"/>
          <w:szCs w:val="22"/>
        </w:rPr>
        <w:t>L</w:t>
      </w:r>
      <w:r w:rsidR="00F65697">
        <w:rPr>
          <w:rFonts w:asciiTheme="minorHAnsi" w:hAnsiTheme="minorHAnsi"/>
          <w:sz w:val="22"/>
          <w:szCs w:val="22"/>
        </w:rPr>
        <w:t>aw and Medicine</w:t>
      </w:r>
      <w:r>
        <w:rPr>
          <w:rFonts w:asciiTheme="minorHAnsi" w:hAnsiTheme="minorHAnsi"/>
          <w:sz w:val="22"/>
          <w:szCs w:val="22"/>
        </w:rPr>
        <w:t xml:space="preserve">, and </w:t>
      </w:r>
      <w:r w:rsidR="00DE28D0">
        <w:rPr>
          <w:rFonts w:asciiTheme="minorHAnsi" w:hAnsiTheme="minorHAnsi"/>
          <w:sz w:val="22"/>
          <w:szCs w:val="22"/>
        </w:rPr>
        <w:t>Forensic Pathology</w:t>
      </w:r>
    </w:p>
    <w:p w:rsidR="00DE28D0" w:rsidRPr="00DE28D0" w:rsidRDefault="00DE28D0" w:rsidP="00DE28D0">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roofErr w:type="spellStart"/>
      <w:r w:rsidRPr="00DE28D0">
        <w:rPr>
          <w:rFonts w:asciiTheme="minorHAnsi" w:hAnsiTheme="minorHAnsi"/>
          <w:sz w:val="22"/>
          <w:szCs w:val="22"/>
        </w:rPr>
        <w:t>Sippo</w:t>
      </w:r>
      <w:proofErr w:type="spellEnd"/>
      <w:r w:rsidRPr="00DE28D0">
        <w:rPr>
          <w:rFonts w:asciiTheme="minorHAnsi" w:hAnsiTheme="minorHAnsi"/>
          <w:sz w:val="22"/>
          <w:szCs w:val="22"/>
        </w:rPr>
        <w:t xml:space="preserve"> v. State, 350 Md. 633, 714 A.2d 864 (1998).</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Rollins v. State, 392 Md. 453, 897 A.2d 821 (2006).</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r>
      <w:proofErr w:type="spellStart"/>
      <w:r w:rsidRPr="00DE28D0">
        <w:rPr>
          <w:rFonts w:asciiTheme="minorHAnsi" w:hAnsiTheme="minorHAnsi"/>
          <w:sz w:val="22"/>
          <w:szCs w:val="22"/>
        </w:rPr>
        <w:t>Deese</w:t>
      </w:r>
      <w:proofErr w:type="spellEnd"/>
      <w:r w:rsidRPr="00DE28D0">
        <w:rPr>
          <w:rFonts w:asciiTheme="minorHAnsi" w:hAnsiTheme="minorHAnsi"/>
          <w:sz w:val="22"/>
          <w:szCs w:val="22"/>
        </w:rPr>
        <w:t xml:space="preserve"> v. State, 367 Md. 293, 768 A.2d 751 (2001).</w:t>
      </w:r>
    </w:p>
    <w:p w:rsid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Md. Code Ann., Health Gen. §§ 5-301, 5-309-311.</w:t>
      </w:r>
    </w:p>
    <w:p w:rsidR="00F65697" w:rsidRDefault="00F65697" w:rsidP="002038AF">
      <w:pPr>
        <w:rPr>
          <w:rFonts w:asciiTheme="minorHAnsi" w:hAnsiTheme="minorHAnsi"/>
          <w:sz w:val="22"/>
          <w:szCs w:val="22"/>
        </w:rPr>
      </w:pPr>
    </w:p>
    <w:p w:rsidR="00BD2C34" w:rsidRDefault="00BD2C34" w:rsidP="00DE28D0">
      <w:pPr>
        <w:rPr>
          <w:rFonts w:asciiTheme="minorHAnsi" w:hAnsiTheme="minorHAnsi"/>
          <w:sz w:val="22"/>
          <w:szCs w:val="22"/>
        </w:rPr>
      </w:pPr>
      <w:r>
        <w:rPr>
          <w:rFonts w:asciiTheme="minorHAnsi" w:hAnsiTheme="minorHAnsi"/>
          <w:sz w:val="22"/>
          <w:szCs w:val="22"/>
        </w:rPr>
        <w:t>March 18, 2020</w:t>
      </w:r>
      <w:r>
        <w:rPr>
          <w:rFonts w:asciiTheme="minorHAnsi" w:hAnsiTheme="minorHAnsi"/>
          <w:sz w:val="22"/>
          <w:szCs w:val="22"/>
        </w:rPr>
        <w:tab/>
      </w:r>
      <w:r>
        <w:rPr>
          <w:rFonts w:asciiTheme="minorHAnsi" w:hAnsiTheme="minorHAnsi"/>
          <w:sz w:val="22"/>
          <w:szCs w:val="22"/>
        </w:rPr>
        <w:tab/>
        <w:t>Spring Break</w:t>
      </w:r>
    </w:p>
    <w:p w:rsidR="00BD2C34" w:rsidRDefault="00BD2C34" w:rsidP="00DE28D0">
      <w:pPr>
        <w:rPr>
          <w:rFonts w:asciiTheme="minorHAnsi" w:hAnsiTheme="minorHAnsi"/>
          <w:sz w:val="22"/>
          <w:szCs w:val="22"/>
        </w:rPr>
      </w:pPr>
    </w:p>
    <w:p w:rsidR="00DE28D0" w:rsidRPr="00DE28D0" w:rsidRDefault="00BD2C34" w:rsidP="00DE28D0">
      <w:pPr>
        <w:rPr>
          <w:rFonts w:asciiTheme="minorHAnsi" w:hAnsiTheme="minorHAnsi"/>
          <w:sz w:val="22"/>
          <w:szCs w:val="22"/>
        </w:rPr>
      </w:pPr>
      <w:r>
        <w:rPr>
          <w:rFonts w:asciiTheme="minorHAnsi" w:hAnsiTheme="minorHAnsi"/>
          <w:sz w:val="22"/>
          <w:szCs w:val="22"/>
        </w:rPr>
        <w:t>March 25, 2020</w:t>
      </w:r>
      <w:r w:rsidR="00DE28D0">
        <w:rPr>
          <w:rFonts w:asciiTheme="minorHAnsi" w:hAnsiTheme="minorHAnsi"/>
          <w:sz w:val="22"/>
          <w:szCs w:val="22"/>
        </w:rPr>
        <w:tab/>
      </w:r>
      <w:r w:rsidR="00DE28D0">
        <w:rPr>
          <w:rFonts w:asciiTheme="minorHAnsi" w:hAnsiTheme="minorHAnsi"/>
          <w:sz w:val="22"/>
          <w:szCs w:val="22"/>
        </w:rPr>
        <w:tab/>
      </w:r>
      <w:r w:rsidR="00DE28D0" w:rsidRPr="00DE28D0">
        <w:rPr>
          <w:rFonts w:asciiTheme="minorHAnsi" w:hAnsiTheme="minorHAnsi"/>
          <w:sz w:val="22"/>
          <w:szCs w:val="22"/>
        </w:rPr>
        <w:t>Drugs</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 xml:space="preserve">Melendez-Diaz v. Massachusetts, 129 </w:t>
      </w:r>
      <w:proofErr w:type="spellStart"/>
      <w:r w:rsidRPr="00DE28D0">
        <w:rPr>
          <w:rFonts w:asciiTheme="minorHAnsi" w:hAnsiTheme="minorHAnsi"/>
          <w:sz w:val="22"/>
          <w:szCs w:val="22"/>
        </w:rPr>
        <w:t>S.Ct</w:t>
      </w:r>
      <w:proofErr w:type="spellEnd"/>
      <w:r w:rsidRPr="00DE28D0">
        <w:rPr>
          <w:rFonts w:asciiTheme="minorHAnsi" w:hAnsiTheme="minorHAnsi"/>
          <w:sz w:val="22"/>
          <w:szCs w:val="22"/>
        </w:rPr>
        <w:t>. 2527 (2009).</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Cole v. State, 378 Md. 42, 835 A.2d 600 (2003).</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 xml:space="preserve">Md. Code Ann., </w:t>
      </w:r>
      <w:proofErr w:type="spellStart"/>
      <w:r w:rsidRPr="00DE28D0">
        <w:rPr>
          <w:rFonts w:asciiTheme="minorHAnsi" w:hAnsiTheme="minorHAnsi"/>
          <w:sz w:val="22"/>
          <w:szCs w:val="22"/>
        </w:rPr>
        <w:t>Cts</w:t>
      </w:r>
      <w:proofErr w:type="spellEnd"/>
      <w:r w:rsidRPr="00DE28D0">
        <w:rPr>
          <w:rFonts w:asciiTheme="minorHAnsi" w:hAnsiTheme="minorHAnsi"/>
          <w:sz w:val="22"/>
          <w:szCs w:val="22"/>
        </w:rPr>
        <w:t>. &amp; Jud. Proc. §§ 1001-1004.</w:t>
      </w:r>
    </w:p>
    <w:p w:rsidR="00BD2C34" w:rsidRDefault="00BD2C34" w:rsidP="002038AF">
      <w:pPr>
        <w:rPr>
          <w:rFonts w:asciiTheme="minorHAnsi" w:hAnsiTheme="minorHAnsi"/>
          <w:sz w:val="22"/>
          <w:szCs w:val="22"/>
        </w:rPr>
      </w:pPr>
    </w:p>
    <w:p w:rsidR="00F65697" w:rsidRDefault="00BD2C34" w:rsidP="002038AF">
      <w:pPr>
        <w:rPr>
          <w:rFonts w:asciiTheme="minorHAnsi" w:hAnsiTheme="minorHAnsi"/>
          <w:sz w:val="22"/>
          <w:szCs w:val="22"/>
        </w:rPr>
      </w:pPr>
      <w:r>
        <w:rPr>
          <w:rFonts w:asciiTheme="minorHAnsi" w:hAnsiTheme="minorHAnsi"/>
          <w:sz w:val="22"/>
          <w:szCs w:val="22"/>
        </w:rPr>
        <w:t>April 1</w:t>
      </w:r>
      <w:r w:rsidR="0039658A">
        <w:rPr>
          <w:rFonts w:asciiTheme="minorHAnsi" w:hAnsiTheme="minorHAnsi"/>
          <w:sz w:val="22"/>
          <w:szCs w:val="22"/>
        </w:rPr>
        <w:t xml:space="preserve">, </w:t>
      </w:r>
      <w:r>
        <w:rPr>
          <w:rFonts w:asciiTheme="minorHAnsi" w:hAnsiTheme="minorHAnsi"/>
          <w:sz w:val="22"/>
          <w:szCs w:val="22"/>
        </w:rPr>
        <w:t>2020</w:t>
      </w:r>
      <w:r w:rsidR="00DE28D0">
        <w:rPr>
          <w:rFonts w:asciiTheme="minorHAnsi" w:hAnsiTheme="minorHAnsi"/>
          <w:sz w:val="22"/>
          <w:szCs w:val="22"/>
        </w:rPr>
        <w:tab/>
      </w:r>
      <w:r w:rsidR="00DE28D0">
        <w:rPr>
          <w:rFonts w:asciiTheme="minorHAnsi" w:hAnsiTheme="minorHAnsi"/>
          <w:sz w:val="22"/>
          <w:szCs w:val="22"/>
        </w:rPr>
        <w:tab/>
        <w:t>Bloodstain Patterns</w:t>
      </w:r>
    </w:p>
    <w:p w:rsidR="00DE28D0" w:rsidRDefault="00DE28D0" w:rsidP="002038AF">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F65697" w:rsidRDefault="00F65697" w:rsidP="002038AF">
      <w:pPr>
        <w:rPr>
          <w:rFonts w:asciiTheme="minorHAnsi" w:hAnsiTheme="minorHAnsi"/>
          <w:sz w:val="22"/>
          <w:szCs w:val="22"/>
        </w:rPr>
      </w:pPr>
    </w:p>
    <w:p w:rsidR="00DE28D0" w:rsidRPr="00DE28D0" w:rsidRDefault="00BD2C34" w:rsidP="00DE28D0">
      <w:pPr>
        <w:rPr>
          <w:rFonts w:asciiTheme="minorHAnsi" w:hAnsiTheme="minorHAnsi"/>
          <w:sz w:val="22"/>
          <w:szCs w:val="22"/>
        </w:rPr>
      </w:pPr>
      <w:r>
        <w:rPr>
          <w:rFonts w:asciiTheme="minorHAnsi" w:hAnsiTheme="minorHAnsi"/>
          <w:sz w:val="22"/>
          <w:szCs w:val="22"/>
        </w:rPr>
        <w:t>April 8, 2020</w:t>
      </w:r>
      <w:r w:rsidR="00DE28D0" w:rsidRPr="00DE28D0">
        <w:t xml:space="preserve"> </w:t>
      </w:r>
      <w:r w:rsidR="00DE28D0">
        <w:tab/>
      </w:r>
      <w:r w:rsidR="00DE28D0">
        <w:tab/>
      </w:r>
      <w:r w:rsidR="00DE28D0" w:rsidRPr="00DE28D0">
        <w:rPr>
          <w:rFonts w:asciiTheme="minorHAnsi" w:hAnsiTheme="minorHAnsi"/>
          <w:sz w:val="22"/>
          <w:szCs w:val="22"/>
        </w:rPr>
        <w:t>Questioned Documents</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 xml:space="preserve">Parker v. State, 12 </w:t>
      </w:r>
      <w:proofErr w:type="spellStart"/>
      <w:r w:rsidRPr="00DE28D0">
        <w:rPr>
          <w:rFonts w:asciiTheme="minorHAnsi" w:hAnsiTheme="minorHAnsi"/>
          <w:sz w:val="22"/>
          <w:szCs w:val="22"/>
        </w:rPr>
        <w:t>Md.App</w:t>
      </w:r>
      <w:proofErr w:type="spellEnd"/>
      <w:r w:rsidRPr="00DE28D0">
        <w:rPr>
          <w:rFonts w:asciiTheme="minorHAnsi" w:hAnsiTheme="minorHAnsi"/>
          <w:sz w:val="22"/>
          <w:szCs w:val="22"/>
        </w:rPr>
        <w:t>. 611, 280 A.2d 29 (1971).</w:t>
      </w:r>
    </w:p>
    <w:p w:rsidR="00DE28D0" w:rsidRPr="00DE28D0"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 xml:space="preserve">Md. Code Ann., </w:t>
      </w:r>
      <w:proofErr w:type="spellStart"/>
      <w:r w:rsidRPr="00DE28D0">
        <w:rPr>
          <w:rFonts w:asciiTheme="minorHAnsi" w:hAnsiTheme="minorHAnsi"/>
          <w:sz w:val="22"/>
          <w:szCs w:val="22"/>
        </w:rPr>
        <w:t>Cts</w:t>
      </w:r>
      <w:proofErr w:type="spellEnd"/>
      <w:r w:rsidRPr="00DE28D0">
        <w:rPr>
          <w:rFonts w:asciiTheme="minorHAnsi" w:hAnsiTheme="minorHAnsi"/>
          <w:sz w:val="22"/>
          <w:szCs w:val="22"/>
        </w:rPr>
        <w:t>. &amp; Jud. Proc. § 10-906.</w:t>
      </w:r>
    </w:p>
    <w:p w:rsidR="00F65697" w:rsidRDefault="00DE28D0" w:rsidP="00DE28D0">
      <w:pPr>
        <w:rPr>
          <w:rFonts w:asciiTheme="minorHAnsi" w:hAnsiTheme="minorHAnsi"/>
          <w:sz w:val="22"/>
          <w:szCs w:val="22"/>
        </w:rPr>
      </w:pPr>
      <w:r w:rsidRPr="00DE28D0">
        <w:rPr>
          <w:rFonts w:asciiTheme="minorHAnsi" w:hAnsiTheme="minorHAnsi"/>
          <w:sz w:val="22"/>
          <w:szCs w:val="22"/>
        </w:rPr>
        <w:tab/>
      </w:r>
      <w:r w:rsidRPr="00DE28D0">
        <w:rPr>
          <w:rFonts w:asciiTheme="minorHAnsi" w:hAnsiTheme="minorHAnsi"/>
          <w:sz w:val="22"/>
          <w:szCs w:val="22"/>
        </w:rPr>
        <w:tab/>
      </w:r>
      <w:r w:rsidRPr="00DE28D0">
        <w:rPr>
          <w:rFonts w:asciiTheme="minorHAnsi" w:hAnsiTheme="minorHAnsi"/>
          <w:sz w:val="22"/>
          <w:szCs w:val="22"/>
        </w:rPr>
        <w:tab/>
        <w:t>Maryland Rules 5-701 and 5-901.</w:t>
      </w:r>
    </w:p>
    <w:p w:rsidR="00F65697" w:rsidRDefault="00F65697" w:rsidP="002038AF">
      <w:pPr>
        <w:rPr>
          <w:rFonts w:asciiTheme="minorHAnsi" w:hAnsiTheme="minorHAnsi"/>
          <w:sz w:val="22"/>
          <w:szCs w:val="22"/>
        </w:rPr>
      </w:pPr>
    </w:p>
    <w:p w:rsidR="002038AF" w:rsidRPr="002038AF" w:rsidRDefault="00BD2C34" w:rsidP="002038AF">
      <w:pPr>
        <w:rPr>
          <w:rFonts w:asciiTheme="minorHAnsi" w:hAnsiTheme="minorHAnsi"/>
          <w:sz w:val="22"/>
          <w:szCs w:val="22"/>
        </w:rPr>
      </w:pPr>
      <w:r>
        <w:rPr>
          <w:rFonts w:asciiTheme="minorHAnsi" w:hAnsiTheme="minorHAnsi"/>
          <w:sz w:val="22"/>
          <w:szCs w:val="22"/>
        </w:rPr>
        <w:t>April 15, 2020</w:t>
      </w:r>
      <w:r w:rsidR="00DE28D0">
        <w:rPr>
          <w:rFonts w:asciiTheme="minorHAnsi" w:hAnsiTheme="minorHAnsi"/>
          <w:sz w:val="22"/>
          <w:szCs w:val="22"/>
        </w:rPr>
        <w:tab/>
      </w:r>
      <w:r w:rsidR="00DE28D0">
        <w:rPr>
          <w:rFonts w:asciiTheme="minorHAnsi" w:hAnsiTheme="minorHAnsi"/>
          <w:sz w:val="22"/>
          <w:szCs w:val="22"/>
        </w:rPr>
        <w:tab/>
        <w:t>Impression Evidence</w:t>
      </w:r>
      <w:r>
        <w:rPr>
          <w:rFonts w:asciiTheme="minorHAnsi" w:hAnsiTheme="minorHAnsi"/>
          <w:sz w:val="22"/>
          <w:szCs w:val="22"/>
        </w:rPr>
        <w:t xml:space="preserve">, and </w:t>
      </w:r>
      <w:r w:rsidR="00DE28D0">
        <w:rPr>
          <w:rFonts w:asciiTheme="minorHAnsi" w:hAnsiTheme="minorHAnsi"/>
          <w:sz w:val="22"/>
          <w:szCs w:val="22"/>
        </w:rPr>
        <w:t>Direct and Cross Examination</w:t>
      </w:r>
      <w:r w:rsidR="00F65697">
        <w:rPr>
          <w:rFonts w:asciiTheme="minorHAnsi" w:hAnsiTheme="minorHAnsi"/>
          <w:sz w:val="22"/>
          <w:szCs w:val="22"/>
        </w:rPr>
        <w:tab/>
      </w:r>
      <w:r w:rsidR="00AD2586">
        <w:rPr>
          <w:rFonts w:asciiTheme="minorHAnsi" w:hAnsiTheme="minorHAnsi"/>
          <w:sz w:val="22"/>
          <w:szCs w:val="22"/>
        </w:rPr>
        <w:tab/>
      </w:r>
    </w:p>
    <w:p w:rsidR="0029772E" w:rsidRDefault="0029772E" w:rsidP="002038AF">
      <w:pPr>
        <w:rPr>
          <w:rFonts w:asciiTheme="minorHAnsi" w:hAnsiTheme="minorHAnsi"/>
          <w:sz w:val="22"/>
          <w:szCs w:val="22"/>
        </w:rPr>
      </w:pPr>
    </w:p>
    <w:sectPr w:rsidR="0029772E" w:rsidSect="00D45B8C">
      <w:pgSz w:w="12240" w:h="15840" w:code="1"/>
      <w:pgMar w:top="806" w:right="720" w:bottom="99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B57D0"/>
    <w:multiLevelType w:val="hybridMultilevel"/>
    <w:tmpl w:val="3960A8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A7593"/>
    <w:multiLevelType w:val="hybridMultilevel"/>
    <w:tmpl w:val="1624CCD0"/>
    <w:lvl w:ilvl="0" w:tplc="4C68C3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E7"/>
    <w:rsid w:val="00005353"/>
    <w:rsid w:val="00013580"/>
    <w:rsid w:val="00022813"/>
    <w:rsid w:val="000271A9"/>
    <w:rsid w:val="0003228B"/>
    <w:rsid w:val="000630B5"/>
    <w:rsid w:val="000A6780"/>
    <w:rsid w:val="000F6938"/>
    <w:rsid w:val="0011417D"/>
    <w:rsid w:val="00127B7B"/>
    <w:rsid w:val="00134429"/>
    <w:rsid w:val="001349E0"/>
    <w:rsid w:val="00163F36"/>
    <w:rsid w:val="001E4C61"/>
    <w:rsid w:val="002038AF"/>
    <w:rsid w:val="0022585F"/>
    <w:rsid w:val="0029772E"/>
    <w:rsid w:val="002E2CAB"/>
    <w:rsid w:val="002E5271"/>
    <w:rsid w:val="00317C00"/>
    <w:rsid w:val="00334BDA"/>
    <w:rsid w:val="003373AA"/>
    <w:rsid w:val="0039658A"/>
    <w:rsid w:val="003E0A20"/>
    <w:rsid w:val="003E20D9"/>
    <w:rsid w:val="00444083"/>
    <w:rsid w:val="00454158"/>
    <w:rsid w:val="004A749B"/>
    <w:rsid w:val="004C7AF0"/>
    <w:rsid w:val="0051632E"/>
    <w:rsid w:val="006A67A2"/>
    <w:rsid w:val="00792B2D"/>
    <w:rsid w:val="00793A98"/>
    <w:rsid w:val="0080242F"/>
    <w:rsid w:val="00834ECB"/>
    <w:rsid w:val="00887BFD"/>
    <w:rsid w:val="008E0BE7"/>
    <w:rsid w:val="009A276F"/>
    <w:rsid w:val="00A13AD0"/>
    <w:rsid w:val="00A42F22"/>
    <w:rsid w:val="00A56845"/>
    <w:rsid w:val="00A62B9C"/>
    <w:rsid w:val="00A90431"/>
    <w:rsid w:val="00AD2586"/>
    <w:rsid w:val="00B80CB2"/>
    <w:rsid w:val="00BD2C34"/>
    <w:rsid w:val="00C60388"/>
    <w:rsid w:val="00C71B34"/>
    <w:rsid w:val="00CA2617"/>
    <w:rsid w:val="00CF2FB4"/>
    <w:rsid w:val="00D45B8C"/>
    <w:rsid w:val="00D73539"/>
    <w:rsid w:val="00DE059B"/>
    <w:rsid w:val="00DE28D0"/>
    <w:rsid w:val="00E431B5"/>
    <w:rsid w:val="00E46209"/>
    <w:rsid w:val="00F165E6"/>
    <w:rsid w:val="00F552FE"/>
    <w:rsid w:val="00F63055"/>
    <w:rsid w:val="00F65697"/>
    <w:rsid w:val="00FC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3E2B-FDFC-432C-A4E6-6296EA82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ultyHandbooklevel1">
    <w:name w:val="Faculty Handbook level 1"/>
    <w:basedOn w:val="Title"/>
    <w:autoRedefine/>
    <w:rsid w:val="008E0BE7"/>
    <w:pPr>
      <w:pBdr>
        <w:top w:val="thinThickLargeGap" w:sz="24" w:space="1" w:color="auto"/>
        <w:left w:val="thinThickLargeGap" w:sz="24" w:space="4" w:color="auto"/>
        <w:bottom w:val="thinThickLargeGap" w:sz="24" w:space="1" w:color="auto"/>
        <w:right w:val="thinThickLargeGap" w:sz="24" w:space="4" w:color="auto"/>
      </w:pBdr>
      <w:contextualSpacing w:val="0"/>
      <w:jc w:val="center"/>
    </w:pPr>
    <w:rPr>
      <w:rFonts w:ascii="Times New Roman" w:eastAsia="Times New Roman" w:hAnsi="Times New Roman" w:cs="Times New Roman"/>
      <w:b/>
      <w:bCs/>
      <w:caps/>
      <w:spacing w:val="0"/>
      <w:kern w:val="0"/>
      <w:sz w:val="32"/>
      <w:szCs w:val="32"/>
    </w:rPr>
  </w:style>
  <w:style w:type="paragraph" w:customStyle="1" w:styleId="Default">
    <w:name w:val="Default"/>
    <w:rsid w:val="008E0B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le">
    <w:name w:val="Title"/>
    <w:basedOn w:val="Normal"/>
    <w:next w:val="Normal"/>
    <w:link w:val="TitleChar"/>
    <w:uiPriority w:val="10"/>
    <w:qFormat/>
    <w:rsid w:val="008E0B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0BE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42F22"/>
    <w:rPr>
      <w:color w:val="0563C1" w:themeColor="hyperlink"/>
      <w:u w:val="single"/>
    </w:rPr>
  </w:style>
  <w:style w:type="paragraph" w:styleId="BalloonText">
    <w:name w:val="Balloon Text"/>
    <w:basedOn w:val="Normal"/>
    <w:link w:val="BalloonTextChar"/>
    <w:uiPriority w:val="99"/>
    <w:semiHidden/>
    <w:unhideWhenUsed/>
    <w:rsid w:val="000228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13"/>
    <w:rPr>
      <w:rFonts w:ascii="Segoe UI" w:eastAsia="Times New Roman" w:hAnsi="Segoe UI" w:cs="Segoe UI"/>
      <w:sz w:val="18"/>
      <w:szCs w:val="18"/>
    </w:rPr>
  </w:style>
  <w:style w:type="paragraph" w:styleId="ListParagraph">
    <w:name w:val="List Paragraph"/>
    <w:basedOn w:val="Normal"/>
    <w:uiPriority w:val="34"/>
    <w:qFormat/>
    <w:rsid w:val="00887BFD"/>
    <w:pPr>
      <w:spacing w:after="200" w:line="276" w:lineRule="auto"/>
      <w:ind w:left="720"/>
      <w:contextualSpacing/>
    </w:pPr>
    <w:rPr>
      <w:rFonts w:asciiTheme="minorHAnsi" w:eastAsiaTheme="minorHAnsi" w:hAnsiTheme="minorHAnsi" w:cstheme="minorBidi"/>
      <w:sz w:val="22"/>
      <w:szCs w:val="22"/>
    </w:rPr>
  </w:style>
  <w:style w:type="character" w:customStyle="1" w:styleId="pslongeditbox">
    <w:name w:val="pslongeditbox"/>
    <w:basedOn w:val="DefaultParagraphFont"/>
    <w:rsid w:val="00A56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5461">
      <w:bodyDiv w:val="1"/>
      <w:marLeft w:val="0"/>
      <w:marRight w:val="0"/>
      <w:marTop w:val="0"/>
      <w:marBottom w:val="0"/>
      <w:divBdr>
        <w:top w:val="none" w:sz="0" w:space="0" w:color="auto"/>
        <w:left w:val="none" w:sz="0" w:space="0" w:color="auto"/>
        <w:bottom w:val="none" w:sz="0" w:space="0" w:color="auto"/>
        <w:right w:val="none" w:sz="0" w:space="0" w:color="auto"/>
      </w:divBdr>
      <w:divsChild>
        <w:div w:id="1513372821">
          <w:marLeft w:val="0"/>
          <w:marRight w:val="0"/>
          <w:marTop w:val="0"/>
          <w:marBottom w:val="0"/>
          <w:divBdr>
            <w:top w:val="none" w:sz="0" w:space="0" w:color="auto"/>
            <w:left w:val="none" w:sz="0" w:space="0" w:color="auto"/>
            <w:bottom w:val="none" w:sz="0" w:space="0" w:color="auto"/>
            <w:right w:val="none" w:sz="0" w:space="0" w:color="auto"/>
          </w:divBdr>
          <w:divsChild>
            <w:div w:id="6123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liamhjones2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Rolfes</dc:creator>
  <cp:keywords/>
  <dc:description/>
  <cp:lastModifiedBy>Katie Rolfes</cp:lastModifiedBy>
  <cp:revision>2</cp:revision>
  <cp:lastPrinted>2019-11-25T21:37:00Z</cp:lastPrinted>
  <dcterms:created xsi:type="dcterms:W3CDTF">2019-12-12T14:57:00Z</dcterms:created>
  <dcterms:modified xsi:type="dcterms:W3CDTF">2019-12-12T14:57:00Z</dcterms:modified>
</cp:coreProperties>
</file>