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AE" w:rsidRDefault="009E4203" w:rsidP="006B10AE">
      <w:pPr>
        <w:jc w:val="center"/>
        <w:rPr>
          <w:b/>
          <w:bCs/>
          <w:sz w:val="24"/>
          <w:szCs w:val="24"/>
        </w:rPr>
      </w:pPr>
      <w:r>
        <w:rPr>
          <w:b/>
          <w:bCs/>
          <w:sz w:val="24"/>
          <w:szCs w:val="24"/>
        </w:rPr>
        <w:t xml:space="preserve">LLMUS </w:t>
      </w:r>
      <w:r w:rsidR="006B10AE">
        <w:rPr>
          <w:b/>
          <w:bCs/>
          <w:sz w:val="24"/>
          <w:szCs w:val="24"/>
        </w:rPr>
        <w:t>PROFESSIONAL RESPONSIBILITY</w:t>
      </w:r>
    </w:p>
    <w:p w:rsidR="006B10AE" w:rsidRDefault="006B10AE" w:rsidP="006B10AE">
      <w:pPr>
        <w:jc w:val="center"/>
        <w:rPr>
          <w:sz w:val="24"/>
          <w:szCs w:val="24"/>
        </w:rPr>
      </w:pPr>
      <w:r>
        <w:rPr>
          <w:sz w:val="24"/>
          <w:szCs w:val="24"/>
        </w:rPr>
        <w:t>University of Baltimore School of Law</w:t>
      </w:r>
    </w:p>
    <w:p w:rsidR="006B10AE" w:rsidRDefault="006B10AE" w:rsidP="006B10AE">
      <w:pPr>
        <w:rPr>
          <w:sz w:val="24"/>
          <w:szCs w:val="24"/>
        </w:rPr>
      </w:pPr>
      <w:r>
        <w:rPr>
          <w:sz w:val="24"/>
          <w:szCs w:val="24"/>
        </w:rPr>
        <w:tab/>
      </w:r>
      <w:r>
        <w:rPr>
          <w:sz w:val="24"/>
          <w:szCs w:val="24"/>
        </w:rPr>
        <w:tab/>
      </w:r>
      <w:r>
        <w:rPr>
          <w:sz w:val="24"/>
          <w:szCs w:val="24"/>
        </w:rPr>
        <w:tab/>
      </w:r>
      <w:r>
        <w:rPr>
          <w:sz w:val="24"/>
          <w:szCs w:val="24"/>
        </w:rPr>
        <w:tab/>
      </w:r>
    </w:p>
    <w:p w:rsidR="006B10AE" w:rsidRDefault="006B10AE" w:rsidP="006B10AE">
      <w:pPr>
        <w:rPr>
          <w:sz w:val="24"/>
          <w:szCs w:val="24"/>
        </w:rPr>
      </w:pPr>
    </w:p>
    <w:p w:rsidR="006B10AE" w:rsidRPr="002F7763" w:rsidRDefault="006B10AE" w:rsidP="006B10AE">
      <w:pPr>
        <w:rPr>
          <w:b/>
          <w:sz w:val="24"/>
          <w:szCs w:val="24"/>
        </w:rPr>
      </w:pPr>
      <w:r>
        <w:rPr>
          <w:b/>
          <w:sz w:val="24"/>
          <w:szCs w:val="24"/>
        </w:rPr>
        <w:t xml:space="preserve">Professor </w:t>
      </w:r>
      <w:r w:rsidR="002C6854">
        <w:rPr>
          <w:b/>
          <w:sz w:val="24"/>
          <w:szCs w:val="24"/>
        </w:rPr>
        <w:t>Norman L. Smith</w:t>
      </w:r>
      <w:r w:rsidR="00C97B51">
        <w:rPr>
          <w:b/>
          <w:sz w:val="24"/>
          <w:szCs w:val="24"/>
        </w:rPr>
        <w:tab/>
      </w:r>
      <w:r w:rsidR="00C97B51">
        <w:rPr>
          <w:b/>
          <w:sz w:val="24"/>
          <w:szCs w:val="24"/>
        </w:rPr>
        <w:tab/>
      </w:r>
      <w:r w:rsidR="00C97B51">
        <w:rPr>
          <w:b/>
          <w:sz w:val="24"/>
          <w:szCs w:val="24"/>
        </w:rPr>
        <w:tab/>
      </w:r>
      <w:r w:rsidR="00C97B51">
        <w:rPr>
          <w:b/>
          <w:sz w:val="24"/>
          <w:szCs w:val="24"/>
        </w:rPr>
        <w:tab/>
      </w:r>
      <w:r w:rsidR="00C97B51">
        <w:rPr>
          <w:b/>
          <w:sz w:val="24"/>
          <w:szCs w:val="24"/>
        </w:rPr>
        <w:tab/>
      </w:r>
      <w:r w:rsidR="00C97B51">
        <w:rPr>
          <w:b/>
          <w:sz w:val="24"/>
          <w:szCs w:val="24"/>
        </w:rPr>
        <w:tab/>
      </w:r>
      <w:r w:rsidR="002C6854">
        <w:rPr>
          <w:b/>
          <w:sz w:val="24"/>
          <w:szCs w:val="24"/>
        </w:rPr>
        <w:t xml:space="preserve">Spring </w:t>
      </w:r>
      <w:r>
        <w:rPr>
          <w:b/>
          <w:sz w:val="24"/>
          <w:szCs w:val="24"/>
        </w:rPr>
        <w:t>201</w:t>
      </w:r>
      <w:r w:rsidR="009E4203">
        <w:rPr>
          <w:b/>
          <w:sz w:val="24"/>
          <w:szCs w:val="24"/>
        </w:rPr>
        <w:t>8</w:t>
      </w:r>
    </w:p>
    <w:p w:rsidR="006B10AE" w:rsidRPr="002F7763" w:rsidRDefault="00C97B51" w:rsidP="006B10A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30E34">
        <w:rPr>
          <w:b/>
          <w:sz w:val="24"/>
          <w:szCs w:val="24"/>
        </w:rPr>
        <w:t>Tues</w:t>
      </w:r>
      <w:r w:rsidR="002C6854">
        <w:rPr>
          <w:b/>
          <w:sz w:val="24"/>
          <w:szCs w:val="24"/>
        </w:rPr>
        <w:t>.</w:t>
      </w:r>
      <w:r w:rsidR="00A30E34">
        <w:rPr>
          <w:b/>
          <w:sz w:val="24"/>
          <w:szCs w:val="24"/>
        </w:rPr>
        <w:t xml:space="preserve"> &amp; Thurs</w:t>
      </w:r>
      <w:r w:rsidR="002C6854">
        <w:rPr>
          <w:b/>
          <w:sz w:val="24"/>
          <w:szCs w:val="24"/>
        </w:rPr>
        <w:t xml:space="preserve"> </w:t>
      </w:r>
      <w:r w:rsidR="00A30E34">
        <w:rPr>
          <w:b/>
          <w:sz w:val="24"/>
          <w:szCs w:val="24"/>
        </w:rPr>
        <w:t>9:00</w:t>
      </w:r>
      <w:r w:rsidR="00CB3AC2">
        <w:rPr>
          <w:b/>
          <w:sz w:val="24"/>
          <w:szCs w:val="24"/>
        </w:rPr>
        <w:t xml:space="preserve"> – </w:t>
      </w:r>
      <w:r w:rsidR="00153A81">
        <w:rPr>
          <w:b/>
          <w:sz w:val="24"/>
          <w:szCs w:val="24"/>
        </w:rPr>
        <w:t>1</w:t>
      </w:r>
      <w:r w:rsidR="00A30E34">
        <w:rPr>
          <w:b/>
          <w:sz w:val="24"/>
          <w:szCs w:val="24"/>
        </w:rPr>
        <w:t>0:15</w:t>
      </w:r>
      <w:r w:rsidR="00153A81">
        <w:rPr>
          <w:b/>
          <w:sz w:val="24"/>
          <w:szCs w:val="24"/>
        </w:rPr>
        <w:t xml:space="preserve"> </w:t>
      </w:r>
      <w:r w:rsidR="00A30E34">
        <w:rPr>
          <w:b/>
          <w:sz w:val="24"/>
          <w:szCs w:val="24"/>
        </w:rPr>
        <w:t>a</w:t>
      </w:r>
      <w:r w:rsidR="00153A81">
        <w:rPr>
          <w:b/>
          <w:sz w:val="24"/>
          <w:szCs w:val="24"/>
        </w:rPr>
        <w:t>.</w:t>
      </w:r>
      <w:r w:rsidR="006E7648">
        <w:rPr>
          <w:b/>
          <w:sz w:val="24"/>
          <w:szCs w:val="24"/>
        </w:rPr>
        <w:t>m</w:t>
      </w:r>
      <w:r w:rsidR="00153A81">
        <w:rPr>
          <w:b/>
          <w:sz w:val="24"/>
          <w:szCs w:val="24"/>
        </w:rPr>
        <w:t>.</w:t>
      </w:r>
    </w:p>
    <w:p w:rsidR="006B10AE" w:rsidRPr="00C97B51" w:rsidRDefault="006B10AE" w:rsidP="005E435F">
      <w:pPr>
        <w:rPr>
          <w:b/>
          <w:sz w:val="24"/>
          <w:szCs w:val="24"/>
        </w:rPr>
      </w:pPr>
      <w:r w:rsidRPr="00C97B51">
        <w:rPr>
          <w:b/>
          <w:sz w:val="24"/>
          <w:szCs w:val="24"/>
          <w:u w:val="single"/>
        </w:rPr>
        <w:t>Contact Information</w:t>
      </w:r>
      <w:r w:rsidR="00C97B51" w:rsidRPr="00C97B51">
        <w:rPr>
          <w:b/>
          <w:sz w:val="24"/>
          <w:szCs w:val="24"/>
        </w:rPr>
        <w:tab/>
      </w:r>
      <w:r w:rsidR="00C97B51" w:rsidRPr="00C97B51">
        <w:rPr>
          <w:b/>
          <w:sz w:val="24"/>
          <w:szCs w:val="24"/>
        </w:rPr>
        <w:tab/>
      </w:r>
      <w:r w:rsidR="00C97B51" w:rsidRPr="00C97B51">
        <w:rPr>
          <w:b/>
          <w:sz w:val="24"/>
          <w:szCs w:val="24"/>
        </w:rPr>
        <w:tab/>
      </w:r>
      <w:r w:rsidR="00C97B51" w:rsidRPr="00C97B51">
        <w:rPr>
          <w:b/>
          <w:sz w:val="24"/>
          <w:szCs w:val="24"/>
        </w:rPr>
        <w:tab/>
      </w:r>
      <w:r w:rsidR="00C97B51" w:rsidRPr="00C97B51">
        <w:rPr>
          <w:b/>
          <w:sz w:val="24"/>
          <w:szCs w:val="24"/>
        </w:rPr>
        <w:tab/>
        <w:t xml:space="preserve"> </w:t>
      </w:r>
    </w:p>
    <w:p w:rsidR="006B10AE" w:rsidRPr="00C97B51" w:rsidRDefault="002C6854" w:rsidP="006B10AE">
      <w:pPr>
        <w:rPr>
          <w:b/>
          <w:sz w:val="24"/>
          <w:szCs w:val="24"/>
        </w:rPr>
      </w:pPr>
      <w:r w:rsidRPr="00C97B51">
        <w:rPr>
          <w:b/>
          <w:sz w:val="24"/>
          <w:szCs w:val="24"/>
        </w:rPr>
        <w:t>410-554-3602 (W); 410-456-0055 (C)</w:t>
      </w:r>
    </w:p>
    <w:p w:rsidR="006B10AE" w:rsidRPr="00C97B51" w:rsidRDefault="002C6854" w:rsidP="006B10AE">
      <w:pPr>
        <w:rPr>
          <w:b/>
          <w:sz w:val="24"/>
          <w:szCs w:val="24"/>
        </w:rPr>
      </w:pPr>
      <w:r w:rsidRPr="00C97B51">
        <w:rPr>
          <w:b/>
          <w:sz w:val="24"/>
          <w:szCs w:val="24"/>
        </w:rPr>
        <w:t>E-mail: nsmith@</w:t>
      </w:r>
      <w:r w:rsidR="00203303">
        <w:rPr>
          <w:b/>
          <w:sz w:val="24"/>
          <w:szCs w:val="24"/>
        </w:rPr>
        <w:t>nusinovsmith.com</w:t>
      </w:r>
      <w:r w:rsidRPr="00C97B51">
        <w:rPr>
          <w:b/>
          <w:sz w:val="24"/>
          <w:szCs w:val="24"/>
        </w:rPr>
        <w:t>.com</w:t>
      </w:r>
    </w:p>
    <w:p w:rsidR="006B10AE" w:rsidRDefault="006B10AE" w:rsidP="006B10AE">
      <w:pPr>
        <w:rPr>
          <w:b/>
          <w:sz w:val="24"/>
          <w:szCs w:val="24"/>
        </w:rPr>
      </w:pPr>
      <w:r w:rsidRPr="00C97B51">
        <w:rPr>
          <w:b/>
          <w:sz w:val="24"/>
          <w:szCs w:val="24"/>
        </w:rPr>
        <w:t>Office Hours:  By appointment</w:t>
      </w:r>
    </w:p>
    <w:p w:rsidR="005E435F" w:rsidRDefault="005E435F" w:rsidP="006B10AE">
      <w:pPr>
        <w:rPr>
          <w:b/>
          <w:sz w:val="24"/>
          <w:szCs w:val="24"/>
        </w:rPr>
      </w:pPr>
    </w:p>
    <w:p w:rsidR="005E435F" w:rsidRDefault="005E435F" w:rsidP="005E435F">
      <w:pPr>
        <w:pStyle w:val="Default"/>
        <w:ind w:left="1440" w:hanging="1440"/>
        <w:rPr>
          <w:rFonts w:asciiTheme="minorHAnsi" w:hAnsiTheme="minorHAnsi" w:cstheme="minorHAnsi"/>
          <w:sz w:val="22"/>
          <w:szCs w:val="22"/>
        </w:rPr>
      </w:pPr>
      <w:r w:rsidRPr="005E435F">
        <w:rPr>
          <w:rFonts w:eastAsia="SimSun"/>
          <w:b/>
          <w:color w:val="auto"/>
          <w:kern w:val="28"/>
          <w:lang w:eastAsia="zh-CN"/>
        </w:rPr>
        <w:t xml:space="preserve">Location: </w:t>
      </w:r>
      <w:r w:rsidRPr="005E435F">
        <w:rPr>
          <w:rFonts w:eastAsia="SimSun"/>
          <w:bCs/>
          <w:color w:val="auto"/>
          <w:kern w:val="28"/>
          <w:lang w:eastAsia="zh-CN"/>
        </w:rPr>
        <w:t xml:space="preserve">Room assignments are available through </w:t>
      </w:r>
      <w:proofErr w:type="spellStart"/>
      <w:r w:rsidRPr="005E435F">
        <w:rPr>
          <w:rFonts w:eastAsia="SimSun"/>
          <w:bCs/>
          <w:color w:val="auto"/>
          <w:kern w:val="28"/>
          <w:lang w:eastAsia="zh-CN"/>
        </w:rPr>
        <w:t>MyUB</w:t>
      </w:r>
      <w:proofErr w:type="spellEnd"/>
      <w:r w:rsidRPr="005E435F">
        <w:rPr>
          <w:rFonts w:eastAsia="SimSun"/>
          <w:bCs/>
          <w:color w:val="auto"/>
          <w:kern w:val="28"/>
          <w:lang w:eastAsia="zh-CN"/>
        </w:rPr>
        <w:t xml:space="preserve">. </w:t>
      </w:r>
    </w:p>
    <w:p w:rsidR="006B10AE" w:rsidRDefault="006B10AE" w:rsidP="006B10AE">
      <w:pPr>
        <w:rPr>
          <w:sz w:val="24"/>
          <w:szCs w:val="24"/>
        </w:rPr>
      </w:pPr>
      <w:bookmarkStart w:id="0" w:name="_GoBack"/>
      <w:bookmarkEnd w:id="0"/>
    </w:p>
    <w:p w:rsidR="006B10AE" w:rsidRPr="00ED24CE" w:rsidRDefault="006B10AE" w:rsidP="006B10AE">
      <w:pPr>
        <w:rPr>
          <w:b/>
          <w:bCs/>
          <w:sz w:val="24"/>
          <w:szCs w:val="24"/>
        </w:rPr>
      </w:pPr>
      <w:r>
        <w:rPr>
          <w:b/>
          <w:bCs/>
          <w:sz w:val="24"/>
          <w:szCs w:val="24"/>
        </w:rPr>
        <w:t xml:space="preserve">REQUIRED TEXTS:  </w:t>
      </w:r>
    </w:p>
    <w:p w:rsidR="006B10AE" w:rsidRDefault="006B10AE" w:rsidP="006B10AE">
      <w:pPr>
        <w:rPr>
          <w:sz w:val="24"/>
          <w:szCs w:val="24"/>
        </w:rPr>
      </w:pPr>
    </w:p>
    <w:p w:rsidR="00ED24CE" w:rsidRDefault="00ED24CE" w:rsidP="006B10AE">
      <w:pPr>
        <w:rPr>
          <w:sz w:val="24"/>
          <w:szCs w:val="24"/>
        </w:rPr>
      </w:pPr>
      <w:r>
        <w:rPr>
          <w:sz w:val="24"/>
          <w:szCs w:val="24"/>
        </w:rPr>
        <w:t>PROBLEMS IN LEGAL ETHICS,  Mortimer D. Schwartz, Richard C. Wydick, Rex R. Perschbacher &amp; Debra Lyn Bassett, (</w:t>
      </w:r>
      <w:r w:rsidR="006E7648">
        <w:rPr>
          <w:sz w:val="24"/>
          <w:szCs w:val="24"/>
        </w:rPr>
        <w:t>1</w:t>
      </w:r>
      <w:r w:rsidR="00F952F2">
        <w:rPr>
          <w:sz w:val="24"/>
          <w:szCs w:val="24"/>
        </w:rPr>
        <w:t>1</w:t>
      </w:r>
      <w:r w:rsidRPr="00ED24CE">
        <w:rPr>
          <w:sz w:val="24"/>
          <w:szCs w:val="24"/>
          <w:vertAlign w:val="superscript"/>
        </w:rPr>
        <w:t>th</w:t>
      </w:r>
      <w:r>
        <w:rPr>
          <w:sz w:val="24"/>
          <w:szCs w:val="24"/>
        </w:rPr>
        <w:t xml:space="preserve"> Ed. 201</w:t>
      </w:r>
      <w:r w:rsidR="006E7648">
        <w:rPr>
          <w:sz w:val="24"/>
          <w:szCs w:val="24"/>
        </w:rPr>
        <w:t>5</w:t>
      </w:r>
      <w:r>
        <w:rPr>
          <w:sz w:val="24"/>
          <w:szCs w:val="24"/>
        </w:rPr>
        <w:t>).</w:t>
      </w:r>
    </w:p>
    <w:p w:rsidR="00ED24CE" w:rsidRDefault="00ED24CE" w:rsidP="006B10AE">
      <w:pPr>
        <w:rPr>
          <w:sz w:val="24"/>
          <w:szCs w:val="24"/>
        </w:rPr>
      </w:pPr>
    </w:p>
    <w:p w:rsidR="006B10AE" w:rsidRDefault="002102DF" w:rsidP="006B10AE">
      <w:pPr>
        <w:rPr>
          <w:sz w:val="24"/>
          <w:szCs w:val="24"/>
        </w:rPr>
      </w:pPr>
      <w:r>
        <w:rPr>
          <w:sz w:val="24"/>
          <w:szCs w:val="24"/>
        </w:rPr>
        <w:t>REGULATION OF LAWYERS, STATUTES AND STANDARDS, Gillers, Simon, and Perlman (Concise Edition 2017)</w:t>
      </w:r>
    </w:p>
    <w:p w:rsidR="00421EF2" w:rsidRDefault="00421EF2" w:rsidP="00421EF2">
      <w:pPr>
        <w:ind w:firstLine="720"/>
        <w:rPr>
          <w:sz w:val="24"/>
          <w:szCs w:val="24"/>
        </w:rPr>
      </w:pPr>
    </w:p>
    <w:p w:rsidR="00421EF2" w:rsidRPr="00421EF2" w:rsidRDefault="006B10AE" w:rsidP="00421EF2">
      <w:pPr>
        <w:rPr>
          <w:b/>
          <w:bCs/>
          <w:sz w:val="24"/>
          <w:szCs w:val="24"/>
        </w:rPr>
      </w:pPr>
      <w:r>
        <w:rPr>
          <w:b/>
          <w:bCs/>
          <w:sz w:val="24"/>
          <w:szCs w:val="24"/>
        </w:rPr>
        <w:t>COURSE</w:t>
      </w:r>
      <w:r w:rsidR="009C0274">
        <w:rPr>
          <w:b/>
          <w:bCs/>
          <w:sz w:val="24"/>
          <w:szCs w:val="24"/>
        </w:rPr>
        <w:t xml:space="preserve"> DESCRIPTION</w:t>
      </w:r>
      <w:r>
        <w:rPr>
          <w:b/>
          <w:bCs/>
          <w:sz w:val="24"/>
          <w:szCs w:val="24"/>
        </w:rPr>
        <w:t>:</w:t>
      </w:r>
      <w:r w:rsidR="009C0274">
        <w:rPr>
          <w:b/>
          <w:bCs/>
          <w:sz w:val="24"/>
          <w:szCs w:val="24"/>
        </w:rPr>
        <w:t xml:space="preserve">  </w:t>
      </w:r>
      <w:r w:rsidR="00E81EBC">
        <w:rPr>
          <w:bCs/>
          <w:sz w:val="24"/>
          <w:szCs w:val="24"/>
        </w:rPr>
        <w:t xml:space="preserve">This </w:t>
      </w:r>
      <w:r w:rsidR="00421EF2" w:rsidRPr="00421EF2">
        <w:rPr>
          <w:bCs/>
          <w:sz w:val="24"/>
          <w:szCs w:val="24"/>
        </w:rPr>
        <w:t>course</w:t>
      </w:r>
      <w:r w:rsidR="00E81EBC">
        <w:rPr>
          <w:bCs/>
          <w:sz w:val="24"/>
          <w:szCs w:val="24"/>
        </w:rPr>
        <w:t xml:space="preserve"> is a study of </w:t>
      </w:r>
      <w:r w:rsidR="00421EF2" w:rsidRPr="00421EF2">
        <w:rPr>
          <w:bCs/>
          <w:sz w:val="24"/>
          <w:szCs w:val="24"/>
        </w:rPr>
        <w:t xml:space="preserve">lawyers’ ethical duties and </w:t>
      </w:r>
      <w:r w:rsidR="002C6854">
        <w:rPr>
          <w:bCs/>
          <w:sz w:val="24"/>
          <w:szCs w:val="24"/>
        </w:rPr>
        <w:t xml:space="preserve">professional responsibilities </w:t>
      </w:r>
      <w:r w:rsidR="0007770E">
        <w:rPr>
          <w:bCs/>
          <w:sz w:val="24"/>
          <w:szCs w:val="24"/>
        </w:rPr>
        <w:t xml:space="preserve">with respect to </w:t>
      </w:r>
      <w:r w:rsidR="00421EF2" w:rsidRPr="00421EF2">
        <w:rPr>
          <w:bCs/>
          <w:sz w:val="24"/>
          <w:szCs w:val="24"/>
        </w:rPr>
        <w:t xml:space="preserve">clients, </w:t>
      </w:r>
      <w:r w:rsidR="002C6854">
        <w:rPr>
          <w:bCs/>
          <w:sz w:val="24"/>
          <w:szCs w:val="24"/>
        </w:rPr>
        <w:t xml:space="preserve">other lawyers, courts and other tribunals, </w:t>
      </w:r>
      <w:r w:rsidR="00421EF2" w:rsidRPr="00421EF2">
        <w:rPr>
          <w:bCs/>
          <w:sz w:val="24"/>
          <w:szCs w:val="24"/>
        </w:rPr>
        <w:t>third parties, and the legal system</w:t>
      </w:r>
      <w:r w:rsidR="002C6854">
        <w:rPr>
          <w:bCs/>
          <w:sz w:val="24"/>
          <w:szCs w:val="24"/>
        </w:rPr>
        <w:t xml:space="preserve">.  </w:t>
      </w:r>
      <w:r w:rsidR="00E81EBC">
        <w:rPr>
          <w:bCs/>
          <w:sz w:val="24"/>
          <w:szCs w:val="24"/>
        </w:rPr>
        <w:t xml:space="preserve">These responsibilities arise under the </w:t>
      </w:r>
      <w:r w:rsidR="00421EF2" w:rsidRPr="00421EF2">
        <w:rPr>
          <w:bCs/>
          <w:sz w:val="24"/>
          <w:szCs w:val="24"/>
        </w:rPr>
        <w:t>American Bar Association</w:t>
      </w:r>
      <w:r w:rsidR="00E81EBC">
        <w:rPr>
          <w:bCs/>
          <w:sz w:val="24"/>
          <w:szCs w:val="24"/>
        </w:rPr>
        <w:t xml:space="preserve"> </w:t>
      </w:r>
      <w:r w:rsidR="00421EF2" w:rsidRPr="00421EF2">
        <w:rPr>
          <w:bCs/>
          <w:sz w:val="24"/>
          <w:szCs w:val="24"/>
        </w:rPr>
        <w:t>Model Rules of Professional Conduct</w:t>
      </w:r>
      <w:r w:rsidR="00E81EBC">
        <w:rPr>
          <w:bCs/>
          <w:sz w:val="24"/>
          <w:szCs w:val="24"/>
        </w:rPr>
        <w:t xml:space="preserve">, the Maryland Lawyers’ Rules of Professional Responsibility, and </w:t>
      </w:r>
      <w:r w:rsidR="00421EF2" w:rsidRPr="00421EF2">
        <w:rPr>
          <w:bCs/>
          <w:sz w:val="24"/>
          <w:szCs w:val="24"/>
        </w:rPr>
        <w:t>case law</w:t>
      </w:r>
      <w:r w:rsidR="00E81EBC">
        <w:rPr>
          <w:bCs/>
          <w:sz w:val="24"/>
          <w:szCs w:val="24"/>
        </w:rPr>
        <w:t xml:space="preserve"> construing these rules</w:t>
      </w:r>
      <w:r w:rsidR="00421EF2" w:rsidRPr="00421EF2">
        <w:rPr>
          <w:bCs/>
          <w:sz w:val="24"/>
          <w:szCs w:val="24"/>
        </w:rPr>
        <w:t xml:space="preserve">.  </w:t>
      </w:r>
    </w:p>
    <w:p w:rsidR="00421EF2" w:rsidRPr="00421EF2" w:rsidRDefault="00421EF2" w:rsidP="00421EF2">
      <w:pPr>
        <w:ind w:firstLine="720"/>
        <w:rPr>
          <w:bCs/>
          <w:sz w:val="24"/>
          <w:szCs w:val="24"/>
        </w:rPr>
      </w:pPr>
    </w:p>
    <w:p w:rsidR="006B10AE" w:rsidRPr="00421EF2" w:rsidRDefault="00421EF2" w:rsidP="00421EF2">
      <w:pPr>
        <w:rPr>
          <w:bCs/>
          <w:sz w:val="24"/>
          <w:szCs w:val="24"/>
        </w:rPr>
      </w:pPr>
      <w:r w:rsidRPr="00421EF2">
        <w:rPr>
          <w:bCs/>
          <w:sz w:val="24"/>
          <w:szCs w:val="24"/>
        </w:rPr>
        <w:t>The goals of this course are</w:t>
      </w:r>
      <w:r w:rsidR="00CE415E">
        <w:rPr>
          <w:bCs/>
          <w:sz w:val="24"/>
          <w:szCs w:val="24"/>
        </w:rPr>
        <w:t xml:space="preserve"> </w:t>
      </w:r>
      <w:r w:rsidRPr="00421EF2">
        <w:rPr>
          <w:bCs/>
          <w:sz w:val="24"/>
          <w:szCs w:val="24"/>
        </w:rPr>
        <w:t xml:space="preserve">to heighten your sensitivity </w:t>
      </w:r>
      <w:r w:rsidR="0007770E">
        <w:rPr>
          <w:bCs/>
          <w:sz w:val="24"/>
          <w:szCs w:val="24"/>
        </w:rPr>
        <w:t xml:space="preserve">to </w:t>
      </w:r>
      <w:r w:rsidR="00C97B51">
        <w:rPr>
          <w:bCs/>
          <w:sz w:val="24"/>
          <w:szCs w:val="24"/>
        </w:rPr>
        <w:t xml:space="preserve">lawyers’ </w:t>
      </w:r>
      <w:r w:rsidR="0007770E">
        <w:rPr>
          <w:bCs/>
          <w:sz w:val="24"/>
          <w:szCs w:val="24"/>
        </w:rPr>
        <w:t xml:space="preserve">professional responsibility, to sharpen your professional </w:t>
      </w:r>
      <w:r w:rsidRPr="00421EF2">
        <w:rPr>
          <w:bCs/>
          <w:sz w:val="24"/>
          <w:szCs w:val="24"/>
        </w:rPr>
        <w:t>ju</w:t>
      </w:r>
      <w:r w:rsidR="00CE415E">
        <w:rPr>
          <w:bCs/>
          <w:sz w:val="24"/>
          <w:szCs w:val="24"/>
        </w:rPr>
        <w:t xml:space="preserve">dgment, to prepare you to </w:t>
      </w:r>
      <w:r w:rsidR="00C97B51">
        <w:rPr>
          <w:bCs/>
          <w:sz w:val="24"/>
          <w:szCs w:val="24"/>
        </w:rPr>
        <w:t xml:space="preserve">for </w:t>
      </w:r>
      <w:r w:rsidR="00CE415E">
        <w:rPr>
          <w:bCs/>
          <w:sz w:val="24"/>
          <w:szCs w:val="24"/>
        </w:rPr>
        <w:t xml:space="preserve">the difficult </w:t>
      </w:r>
      <w:r w:rsidRPr="00421EF2">
        <w:rPr>
          <w:bCs/>
          <w:sz w:val="24"/>
          <w:szCs w:val="24"/>
        </w:rPr>
        <w:t>ethical issues you may face in the practice of law</w:t>
      </w:r>
      <w:r w:rsidR="00CE415E">
        <w:rPr>
          <w:bCs/>
          <w:sz w:val="24"/>
          <w:szCs w:val="24"/>
        </w:rPr>
        <w:t xml:space="preserve">, and to </w:t>
      </w:r>
      <w:r w:rsidRPr="00421EF2">
        <w:rPr>
          <w:bCs/>
          <w:sz w:val="24"/>
          <w:szCs w:val="24"/>
        </w:rPr>
        <w:t xml:space="preserve">help you </w:t>
      </w:r>
      <w:r w:rsidR="00CE415E">
        <w:rPr>
          <w:bCs/>
          <w:sz w:val="24"/>
          <w:szCs w:val="24"/>
        </w:rPr>
        <w:t xml:space="preserve">to identify and </w:t>
      </w:r>
      <w:r w:rsidRPr="00421EF2">
        <w:rPr>
          <w:bCs/>
          <w:sz w:val="24"/>
          <w:szCs w:val="24"/>
        </w:rPr>
        <w:t xml:space="preserve">avoid </w:t>
      </w:r>
      <w:r w:rsidR="0007770E">
        <w:rPr>
          <w:bCs/>
          <w:sz w:val="24"/>
          <w:szCs w:val="24"/>
        </w:rPr>
        <w:t xml:space="preserve">problems </w:t>
      </w:r>
      <w:r w:rsidRPr="00421EF2">
        <w:rPr>
          <w:bCs/>
          <w:sz w:val="24"/>
          <w:szCs w:val="24"/>
        </w:rPr>
        <w:t xml:space="preserve">that could threaten </w:t>
      </w:r>
      <w:r w:rsidR="00C97B51">
        <w:rPr>
          <w:bCs/>
          <w:sz w:val="24"/>
          <w:szCs w:val="24"/>
        </w:rPr>
        <w:t>your legal career</w:t>
      </w:r>
      <w:r w:rsidRPr="00421EF2">
        <w:rPr>
          <w:bCs/>
          <w:sz w:val="24"/>
          <w:szCs w:val="24"/>
        </w:rPr>
        <w:t xml:space="preserve">.  </w:t>
      </w:r>
    </w:p>
    <w:p w:rsidR="00421EF2" w:rsidRPr="009C0274" w:rsidRDefault="00421EF2" w:rsidP="00421EF2">
      <w:pPr>
        <w:rPr>
          <w:sz w:val="24"/>
          <w:szCs w:val="24"/>
        </w:rPr>
      </w:pPr>
    </w:p>
    <w:p w:rsidR="006B10AE" w:rsidRPr="005C2909" w:rsidRDefault="006B10AE" w:rsidP="006B10AE">
      <w:pPr>
        <w:rPr>
          <w:sz w:val="24"/>
          <w:szCs w:val="24"/>
        </w:rPr>
      </w:pPr>
      <w:r>
        <w:rPr>
          <w:b/>
          <w:bCs/>
          <w:sz w:val="24"/>
          <w:szCs w:val="24"/>
        </w:rPr>
        <w:t xml:space="preserve">ASSIGNMENTS:  </w:t>
      </w:r>
      <w:r w:rsidR="00F2629B">
        <w:rPr>
          <w:sz w:val="24"/>
          <w:szCs w:val="24"/>
        </w:rPr>
        <w:t>The Course Outline of reading assignments and other course materials are posted for the course on TWEN.  Please check the posted syllabus</w:t>
      </w:r>
      <w:r w:rsidR="0093044E">
        <w:rPr>
          <w:sz w:val="24"/>
          <w:szCs w:val="24"/>
        </w:rPr>
        <w:t xml:space="preserve"> on TWEN </w:t>
      </w:r>
      <w:r w:rsidR="00F2629B">
        <w:rPr>
          <w:sz w:val="24"/>
          <w:szCs w:val="24"/>
        </w:rPr>
        <w:t xml:space="preserve">regularly as I expect to supplement and update reading and other assignments throughout the semester.  </w:t>
      </w:r>
      <w:r>
        <w:rPr>
          <w:sz w:val="24"/>
          <w:szCs w:val="24"/>
        </w:rPr>
        <w:t xml:space="preserve">It is </w:t>
      </w:r>
      <w:r w:rsidR="00CE415E">
        <w:rPr>
          <w:sz w:val="24"/>
          <w:szCs w:val="24"/>
        </w:rPr>
        <w:t xml:space="preserve">important </w:t>
      </w:r>
      <w:r>
        <w:rPr>
          <w:sz w:val="24"/>
          <w:szCs w:val="24"/>
        </w:rPr>
        <w:t xml:space="preserve">that you complete the assigned readings </w:t>
      </w:r>
      <w:r w:rsidR="00F2629B">
        <w:rPr>
          <w:sz w:val="24"/>
          <w:szCs w:val="24"/>
        </w:rPr>
        <w:t xml:space="preserve">for each class </w:t>
      </w:r>
      <w:r w:rsidR="00CE415E">
        <w:rPr>
          <w:sz w:val="24"/>
          <w:szCs w:val="24"/>
        </w:rPr>
        <w:t xml:space="preserve">so that you may </w:t>
      </w:r>
      <w:r>
        <w:rPr>
          <w:sz w:val="24"/>
          <w:szCs w:val="24"/>
        </w:rPr>
        <w:t xml:space="preserve">participate fully in class discussions and simulations. </w:t>
      </w:r>
    </w:p>
    <w:p w:rsidR="00A74234" w:rsidRDefault="00A74234" w:rsidP="006B10AE">
      <w:pPr>
        <w:rPr>
          <w:sz w:val="24"/>
          <w:szCs w:val="24"/>
        </w:rPr>
      </w:pPr>
    </w:p>
    <w:p w:rsidR="006B10AE" w:rsidRDefault="006B10AE" w:rsidP="006B10AE">
      <w:pPr>
        <w:rPr>
          <w:bCs/>
          <w:sz w:val="24"/>
          <w:szCs w:val="24"/>
        </w:rPr>
      </w:pPr>
      <w:r>
        <w:rPr>
          <w:b/>
          <w:bCs/>
          <w:sz w:val="24"/>
          <w:szCs w:val="24"/>
        </w:rPr>
        <w:t xml:space="preserve">ATTENDANCE:  </w:t>
      </w:r>
      <w:r w:rsidR="00807FB8">
        <w:rPr>
          <w:bCs/>
          <w:sz w:val="24"/>
          <w:szCs w:val="24"/>
        </w:rPr>
        <w:t xml:space="preserve">Please review the UB School of Law attendance policy, described in the </w:t>
      </w:r>
      <w:r w:rsidR="00807FB8" w:rsidRPr="00807FB8">
        <w:rPr>
          <w:bCs/>
          <w:i/>
          <w:sz w:val="24"/>
          <w:szCs w:val="24"/>
        </w:rPr>
        <w:t>Student Handbook</w:t>
      </w:r>
      <w:r w:rsidR="00807FB8">
        <w:rPr>
          <w:bCs/>
          <w:i/>
          <w:sz w:val="24"/>
          <w:szCs w:val="24"/>
        </w:rPr>
        <w:t xml:space="preserve">, </w:t>
      </w:r>
      <w:hyperlink r:id="rId8" w:history="1">
        <w:r w:rsidR="00807FB8" w:rsidRPr="00627FE1">
          <w:rPr>
            <w:rStyle w:val="Hyperlink"/>
            <w:bCs/>
            <w:sz w:val="24"/>
            <w:szCs w:val="24"/>
          </w:rPr>
          <w:t>http://law.ubalt.edu/academics/policiesandprocedures/</w:t>
        </w:r>
      </w:hyperlink>
      <w:r w:rsidR="00807FB8">
        <w:rPr>
          <w:bCs/>
          <w:sz w:val="24"/>
          <w:szCs w:val="24"/>
        </w:rPr>
        <w:t>.  Consistent with that policy, students with more than five unexcused absences during the semester may be required to withdraw from the course.</w:t>
      </w:r>
      <w:r w:rsidR="00F2629B">
        <w:rPr>
          <w:bCs/>
          <w:sz w:val="24"/>
          <w:szCs w:val="24"/>
        </w:rPr>
        <w:t xml:space="preserve">  An attendance sheet will be circulated at the beginning of every class.  Students who sign in will be considered present and prepared and may be called upon in class discussion.  Students who do not sign in will be counted absent.</w:t>
      </w:r>
    </w:p>
    <w:p w:rsidR="00D63EBF" w:rsidRDefault="00D63EBF" w:rsidP="006B10AE">
      <w:pPr>
        <w:rPr>
          <w:bCs/>
          <w:sz w:val="24"/>
          <w:szCs w:val="24"/>
        </w:rPr>
      </w:pPr>
    </w:p>
    <w:p w:rsidR="00A30E34" w:rsidRDefault="00A30E34">
      <w:pPr>
        <w:widowControl/>
        <w:overflowPunct/>
        <w:autoSpaceDE/>
        <w:autoSpaceDN/>
        <w:adjustRightInd/>
        <w:spacing w:after="200" w:line="276" w:lineRule="auto"/>
        <w:rPr>
          <w:b/>
          <w:bCs/>
          <w:sz w:val="24"/>
          <w:szCs w:val="24"/>
        </w:rPr>
      </w:pPr>
      <w:r>
        <w:rPr>
          <w:b/>
          <w:bCs/>
          <w:sz w:val="24"/>
          <w:szCs w:val="24"/>
        </w:rPr>
        <w:br w:type="page"/>
      </w:r>
    </w:p>
    <w:p w:rsidR="00D63EBF" w:rsidRDefault="00D63EBF" w:rsidP="00D63EBF">
      <w:pPr>
        <w:rPr>
          <w:bCs/>
          <w:sz w:val="24"/>
          <w:szCs w:val="24"/>
        </w:rPr>
      </w:pPr>
      <w:r w:rsidRPr="0061771C">
        <w:rPr>
          <w:b/>
          <w:bCs/>
          <w:sz w:val="24"/>
          <w:szCs w:val="24"/>
        </w:rPr>
        <w:lastRenderedPageBreak/>
        <w:t>ACADEMIC INTEGRITY</w:t>
      </w:r>
      <w:r>
        <w:rPr>
          <w:bCs/>
          <w:sz w:val="24"/>
          <w:szCs w:val="24"/>
        </w:rPr>
        <w:t xml:space="preserve">:  Students must refrain from acts that impair the academic integrity of the University and the School of Law.  Violations of academic integrity include, but are not limited to, cheating, plagiarism, misuse of materials, misrepresentation of any academic matter, including attendance, and impeding the Honor Code process.  The School Honor Code and information regarding the process can be found at </w:t>
      </w:r>
      <w:hyperlink r:id="rId9" w:history="1">
        <w:r w:rsidRPr="00701827">
          <w:rPr>
            <w:rStyle w:val="Hyperlink"/>
            <w:bCs/>
            <w:sz w:val="24"/>
            <w:szCs w:val="24"/>
          </w:rPr>
          <w:t>http://law.ubalt.edu/academics/policiesandprocedures/honor_code/</w:t>
        </w:r>
      </w:hyperlink>
      <w:r>
        <w:rPr>
          <w:bCs/>
          <w:sz w:val="24"/>
          <w:szCs w:val="24"/>
        </w:rPr>
        <w:t>.</w:t>
      </w:r>
    </w:p>
    <w:p w:rsidR="00B01086" w:rsidRDefault="00B01086" w:rsidP="00D63EBF">
      <w:pPr>
        <w:rPr>
          <w:bCs/>
          <w:sz w:val="24"/>
          <w:szCs w:val="24"/>
        </w:rPr>
      </w:pPr>
    </w:p>
    <w:p w:rsidR="00B01086" w:rsidRPr="0093044E" w:rsidRDefault="00B01086" w:rsidP="00B01086">
      <w:pPr>
        <w:rPr>
          <w:rFonts w:eastAsia="Calibri" w:cstheme="minorHAnsi"/>
          <w:b/>
          <w:bCs/>
          <w:color w:val="000000"/>
          <w:sz w:val="22"/>
          <w:szCs w:val="22"/>
        </w:rPr>
      </w:pPr>
      <w:r w:rsidRPr="0093044E">
        <w:rPr>
          <w:rFonts w:eastAsia="Calibri" w:cstheme="minorHAnsi"/>
          <w:b/>
          <w:bCs/>
          <w:color w:val="000000"/>
          <w:sz w:val="22"/>
          <w:szCs w:val="22"/>
        </w:rPr>
        <w:t xml:space="preserve">Title IX Sexual Misconduct and Nondiscrimination Policy: </w:t>
      </w:r>
    </w:p>
    <w:p w:rsidR="00B01086" w:rsidRDefault="00B01086" w:rsidP="00B01086">
      <w:pPr>
        <w:pStyle w:val="Default"/>
        <w:rPr>
          <w:rFonts w:cstheme="minorHAnsi"/>
          <w:sz w:val="22"/>
          <w:szCs w:val="22"/>
        </w:rPr>
      </w:pPr>
      <w:r w:rsidRPr="0093044E">
        <w:rPr>
          <w:rFonts w:cstheme="minorHAnsi"/>
          <w:sz w:val="22"/>
          <w:szCs w:val="22"/>
        </w:rPr>
        <w:t xml:space="preserve">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hyperlink r:id="rId10" w:history="1">
        <w:r w:rsidR="0093044E" w:rsidRPr="005C20DF">
          <w:rPr>
            <w:rStyle w:val="Hyperlink"/>
            <w:rFonts w:cstheme="minorHAnsi"/>
            <w:sz w:val="22"/>
            <w:szCs w:val="22"/>
          </w:rPr>
          <w:t>http://www.ubalt.edu/titleix</w:t>
        </w:r>
      </w:hyperlink>
      <w:r w:rsidRPr="0093044E">
        <w:rPr>
          <w:rFonts w:cstheme="minorHAnsi"/>
          <w:sz w:val="22"/>
          <w:szCs w:val="22"/>
        </w:rPr>
        <w:t>.</w:t>
      </w:r>
    </w:p>
    <w:p w:rsidR="00B01086" w:rsidRPr="0093044E" w:rsidRDefault="00B01086" w:rsidP="00B01086">
      <w:pPr>
        <w:pStyle w:val="Default"/>
        <w:rPr>
          <w:rFonts w:cstheme="minorHAnsi"/>
          <w:sz w:val="22"/>
          <w:szCs w:val="22"/>
        </w:rPr>
      </w:pPr>
    </w:p>
    <w:p w:rsidR="00B01086" w:rsidRPr="0093044E" w:rsidRDefault="00B01086" w:rsidP="00B01086">
      <w:pPr>
        <w:pStyle w:val="Default"/>
        <w:rPr>
          <w:rFonts w:cstheme="minorHAnsi"/>
          <w:sz w:val="22"/>
          <w:szCs w:val="22"/>
        </w:rPr>
      </w:pPr>
      <w:r w:rsidRPr="0093044E">
        <w:rPr>
          <w:rFonts w:cstheme="minorHAnsi"/>
          <w:b/>
          <w:bCs/>
          <w:sz w:val="22"/>
          <w:szCs w:val="22"/>
        </w:rPr>
        <w:t xml:space="preserve">Disability Policy: </w:t>
      </w:r>
    </w:p>
    <w:p w:rsidR="00B01086" w:rsidRPr="0093044E" w:rsidRDefault="00B01086" w:rsidP="00B01086">
      <w:pPr>
        <w:rPr>
          <w:rFonts w:cstheme="minorHAnsi"/>
          <w:sz w:val="22"/>
          <w:szCs w:val="22"/>
        </w:rPr>
      </w:pPr>
      <w:r w:rsidRPr="0093044E">
        <w:rPr>
          <w:rFonts w:cstheme="minorHAnsi"/>
          <w:sz w:val="22"/>
          <w:szCs w:val="22"/>
        </w:rPr>
        <w:t xml:space="preserve">If you are a student with a documented disability who requires an academic accommodation, please contact Leslie Metzger, Director of Student Services, at 410-837-5623 or </w:t>
      </w:r>
      <w:hyperlink r:id="rId11" w:history="1">
        <w:r w:rsidRPr="0093044E">
          <w:rPr>
            <w:rStyle w:val="Hyperlink"/>
            <w:rFonts w:cstheme="minorHAnsi"/>
            <w:sz w:val="22"/>
            <w:szCs w:val="22"/>
          </w:rPr>
          <w:t>lmetzger@ubalt.edu</w:t>
        </w:r>
      </w:hyperlink>
      <w:r w:rsidRPr="0093044E">
        <w:rPr>
          <w:rFonts w:cstheme="minorHAnsi"/>
          <w:sz w:val="22"/>
          <w:szCs w:val="22"/>
        </w:rPr>
        <w:t>.</w:t>
      </w:r>
    </w:p>
    <w:p w:rsidR="00B01086" w:rsidRPr="0093044E" w:rsidRDefault="00B01086" w:rsidP="00B01086">
      <w:pPr>
        <w:rPr>
          <w:rFonts w:cstheme="minorHAnsi"/>
          <w:sz w:val="22"/>
          <w:szCs w:val="22"/>
        </w:rPr>
      </w:pPr>
    </w:p>
    <w:p w:rsidR="00B01086" w:rsidRPr="0093044E" w:rsidRDefault="00B01086" w:rsidP="00B01086">
      <w:pPr>
        <w:widowControl/>
        <w:overflowPunct/>
        <w:rPr>
          <w:rFonts w:eastAsia="Calibri" w:cs="Calibri"/>
          <w:color w:val="000000"/>
          <w:kern w:val="0"/>
          <w:sz w:val="22"/>
          <w:szCs w:val="22"/>
          <w:lang w:eastAsia="en-US"/>
        </w:rPr>
      </w:pPr>
      <w:r w:rsidRPr="0093044E">
        <w:rPr>
          <w:rFonts w:eastAsia="Calibri" w:cs="Calibri"/>
          <w:b/>
          <w:bCs/>
          <w:color w:val="000000"/>
          <w:kern w:val="0"/>
          <w:sz w:val="22"/>
          <w:szCs w:val="22"/>
          <w:lang w:eastAsia="en-US"/>
        </w:rPr>
        <w:t xml:space="preserve">Course Website: </w:t>
      </w:r>
    </w:p>
    <w:p w:rsidR="00B01086" w:rsidRPr="0093044E" w:rsidRDefault="00B01086" w:rsidP="00B01086">
      <w:pPr>
        <w:widowControl/>
        <w:overflowPunct/>
        <w:rPr>
          <w:rFonts w:eastAsia="Calibri" w:cs="Calibri"/>
          <w:color w:val="000000"/>
          <w:kern w:val="0"/>
          <w:sz w:val="22"/>
          <w:szCs w:val="22"/>
          <w:lang w:eastAsia="en-US"/>
        </w:rPr>
      </w:pPr>
      <w:r w:rsidRPr="0093044E">
        <w:rPr>
          <w:rFonts w:eastAsia="Calibri" w:cs="Calibri"/>
          <w:color w:val="000000"/>
          <w:kern w:val="0"/>
          <w:sz w:val="22"/>
          <w:szCs w:val="22"/>
          <w:lang w:eastAsia="en-US"/>
        </w:rPr>
        <w:t xml:space="preserve">This course has a TWEN page that links to this syllabus, announcements, the class assignments, and other class materials. You are responsible for self-enrolling in the TWEN page and for checking it regularly for course information. </w:t>
      </w:r>
    </w:p>
    <w:p w:rsidR="00B01086" w:rsidRPr="0093044E" w:rsidRDefault="00B01086" w:rsidP="00B01086">
      <w:pPr>
        <w:widowControl/>
        <w:overflowPunct/>
        <w:rPr>
          <w:rFonts w:eastAsia="Calibri" w:cs="Calibri"/>
          <w:b/>
          <w:bCs/>
          <w:color w:val="000000"/>
          <w:kern w:val="0"/>
          <w:sz w:val="22"/>
          <w:szCs w:val="22"/>
          <w:lang w:eastAsia="en-US"/>
        </w:rPr>
      </w:pPr>
    </w:p>
    <w:p w:rsidR="00B01086" w:rsidRPr="0093044E" w:rsidRDefault="00B01086" w:rsidP="00B01086">
      <w:pPr>
        <w:widowControl/>
        <w:overflowPunct/>
        <w:rPr>
          <w:rFonts w:eastAsia="Calibri" w:cs="Calibri"/>
          <w:color w:val="000000"/>
          <w:kern w:val="0"/>
          <w:sz w:val="22"/>
          <w:szCs w:val="22"/>
          <w:lang w:eastAsia="en-US"/>
        </w:rPr>
      </w:pPr>
      <w:r w:rsidRPr="0093044E">
        <w:rPr>
          <w:rFonts w:eastAsia="Calibri" w:cs="Calibri"/>
          <w:b/>
          <w:bCs/>
          <w:color w:val="000000"/>
          <w:kern w:val="0"/>
          <w:sz w:val="22"/>
          <w:szCs w:val="22"/>
          <w:lang w:eastAsia="en-US"/>
        </w:rPr>
        <w:t xml:space="preserve">Computers: </w:t>
      </w:r>
    </w:p>
    <w:p w:rsidR="00B01086" w:rsidRPr="0093044E" w:rsidRDefault="00B01086" w:rsidP="00B01086">
      <w:pPr>
        <w:widowControl/>
        <w:overflowPunct/>
        <w:rPr>
          <w:rFonts w:eastAsia="Calibri" w:cs="Calibri"/>
          <w:color w:val="000000"/>
          <w:kern w:val="0"/>
          <w:sz w:val="22"/>
          <w:szCs w:val="22"/>
          <w:lang w:eastAsia="en-US"/>
        </w:rPr>
      </w:pPr>
      <w:r w:rsidRPr="0093044E">
        <w:rPr>
          <w:rFonts w:eastAsia="Calibri" w:cs="Calibri"/>
          <w:color w:val="000000"/>
          <w:kern w:val="0"/>
          <w:sz w:val="22"/>
          <w:szCs w:val="22"/>
          <w:lang w:eastAsia="en-US"/>
        </w:rPr>
        <w:t xml:space="preserve">Students may use laptop computers for class related purposes. </w:t>
      </w:r>
    </w:p>
    <w:p w:rsidR="00B01086" w:rsidRPr="0093044E" w:rsidRDefault="00B01086" w:rsidP="00B01086">
      <w:pPr>
        <w:widowControl/>
        <w:overflowPunct/>
        <w:rPr>
          <w:rFonts w:eastAsia="Calibri" w:cs="Calibri"/>
          <w:b/>
          <w:bCs/>
          <w:color w:val="000000"/>
          <w:kern w:val="0"/>
          <w:sz w:val="22"/>
          <w:szCs w:val="22"/>
          <w:lang w:eastAsia="en-US"/>
        </w:rPr>
      </w:pPr>
    </w:p>
    <w:p w:rsidR="00B01086" w:rsidRPr="0093044E" w:rsidRDefault="00B01086" w:rsidP="00B01086">
      <w:pPr>
        <w:widowControl/>
        <w:overflowPunct/>
        <w:rPr>
          <w:rFonts w:eastAsia="Calibri" w:cs="Calibri"/>
          <w:color w:val="000000"/>
          <w:kern w:val="0"/>
          <w:sz w:val="22"/>
          <w:szCs w:val="22"/>
          <w:lang w:eastAsia="en-US"/>
        </w:rPr>
      </w:pPr>
      <w:r w:rsidRPr="0093044E">
        <w:rPr>
          <w:rFonts w:eastAsia="Calibri" w:cs="Calibri"/>
          <w:b/>
          <w:bCs/>
          <w:color w:val="000000"/>
          <w:kern w:val="0"/>
          <w:sz w:val="22"/>
          <w:szCs w:val="22"/>
          <w:lang w:eastAsia="en-US"/>
        </w:rPr>
        <w:t xml:space="preserve">Class Cancellation: </w:t>
      </w:r>
    </w:p>
    <w:p w:rsidR="00B01086" w:rsidRPr="0093044E" w:rsidRDefault="00B01086" w:rsidP="00B01086">
      <w:pPr>
        <w:widowControl/>
        <w:overflowPunct/>
        <w:rPr>
          <w:rFonts w:cstheme="minorHAnsi"/>
          <w:sz w:val="22"/>
          <w:szCs w:val="22"/>
        </w:rPr>
      </w:pPr>
      <w:r w:rsidRPr="0093044E">
        <w:rPr>
          <w:rFonts w:eastAsia="Calibri" w:cs="Calibri"/>
          <w:color w:val="000000"/>
          <w:kern w:val="0"/>
          <w:sz w:val="22"/>
          <w:szCs w:val="22"/>
          <w:lang w:eastAsia="en-US"/>
        </w:rPr>
        <w:t xml:space="preserve">If </w:t>
      </w:r>
      <w:r w:rsidR="00B37022">
        <w:rPr>
          <w:rFonts w:eastAsia="Calibri" w:cs="Calibri"/>
          <w:color w:val="000000"/>
          <w:kern w:val="0"/>
          <w:sz w:val="22"/>
          <w:szCs w:val="22"/>
          <w:lang w:eastAsia="en-US"/>
        </w:rPr>
        <w:t xml:space="preserve">I </w:t>
      </w:r>
      <w:r w:rsidRPr="0093044E">
        <w:rPr>
          <w:rFonts w:eastAsia="Calibri" w:cs="Calibri"/>
          <w:color w:val="000000"/>
          <w:kern w:val="0"/>
          <w:sz w:val="22"/>
          <w:szCs w:val="22"/>
          <w:lang w:eastAsia="en-US"/>
        </w:rPr>
        <w:t xml:space="preserve">must cancel a class, notices will be sent to students via email and posted on the classroom door.  If there is inclement weather, students should visit the University of Baltimore web site or call the University's Snow Closing Line at (410) 837-4201. If the University is open, students should presume that classes are running on the normal schedule. </w:t>
      </w:r>
    </w:p>
    <w:p w:rsidR="00D63EBF" w:rsidRPr="0093044E" w:rsidRDefault="00D63EBF" w:rsidP="00D63EBF">
      <w:pPr>
        <w:rPr>
          <w:sz w:val="24"/>
          <w:szCs w:val="24"/>
        </w:rPr>
      </w:pPr>
    </w:p>
    <w:p w:rsidR="006B10AE" w:rsidRPr="00992AEB" w:rsidRDefault="006B10AE" w:rsidP="006B10AE">
      <w:pPr>
        <w:rPr>
          <w:sz w:val="24"/>
          <w:szCs w:val="24"/>
        </w:rPr>
      </w:pPr>
      <w:r>
        <w:rPr>
          <w:b/>
          <w:sz w:val="24"/>
          <w:szCs w:val="24"/>
        </w:rPr>
        <w:t xml:space="preserve">EMAIL COMMUNICATION:  </w:t>
      </w:r>
      <w:r>
        <w:rPr>
          <w:sz w:val="24"/>
          <w:szCs w:val="24"/>
        </w:rPr>
        <w:t xml:space="preserve"> </w:t>
      </w:r>
      <w:r w:rsidR="0059582B">
        <w:rPr>
          <w:sz w:val="24"/>
          <w:szCs w:val="24"/>
        </w:rPr>
        <w:t xml:space="preserve">I will </w:t>
      </w:r>
      <w:r>
        <w:rPr>
          <w:sz w:val="24"/>
          <w:szCs w:val="24"/>
        </w:rPr>
        <w:t xml:space="preserve">communicate </w:t>
      </w:r>
      <w:r w:rsidR="0059582B">
        <w:rPr>
          <w:sz w:val="24"/>
          <w:szCs w:val="24"/>
        </w:rPr>
        <w:t xml:space="preserve">regularly with the class </w:t>
      </w:r>
      <w:r>
        <w:rPr>
          <w:sz w:val="24"/>
          <w:szCs w:val="24"/>
        </w:rPr>
        <w:t>by email</w:t>
      </w:r>
      <w:r w:rsidR="0059582B">
        <w:rPr>
          <w:sz w:val="24"/>
          <w:szCs w:val="24"/>
        </w:rPr>
        <w:t xml:space="preserve"> and I </w:t>
      </w:r>
      <w:r w:rsidR="00B37022">
        <w:rPr>
          <w:sz w:val="24"/>
          <w:szCs w:val="24"/>
        </w:rPr>
        <w:t xml:space="preserve">encourage </w:t>
      </w:r>
      <w:r w:rsidR="0059582B">
        <w:rPr>
          <w:sz w:val="24"/>
          <w:szCs w:val="24"/>
        </w:rPr>
        <w:t xml:space="preserve">you to use email to reach me.  </w:t>
      </w:r>
      <w:r>
        <w:rPr>
          <w:sz w:val="24"/>
          <w:szCs w:val="24"/>
        </w:rPr>
        <w:t xml:space="preserve">It is </w:t>
      </w:r>
      <w:r w:rsidR="0059582B">
        <w:rPr>
          <w:sz w:val="24"/>
          <w:szCs w:val="24"/>
        </w:rPr>
        <w:t xml:space="preserve">the responsibility </w:t>
      </w:r>
      <w:r w:rsidR="00F2629B">
        <w:rPr>
          <w:sz w:val="24"/>
          <w:szCs w:val="24"/>
        </w:rPr>
        <w:t xml:space="preserve">all </w:t>
      </w:r>
      <w:r w:rsidR="0059582B">
        <w:rPr>
          <w:sz w:val="24"/>
          <w:szCs w:val="24"/>
        </w:rPr>
        <w:t xml:space="preserve">to check </w:t>
      </w:r>
      <w:r>
        <w:rPr>
          <w:sz w:val="24"/>
          <w:szCs w:val="24"/>
        </w:rPr>
        <w:t>email regularly</w:t>
      </w:r>
      <w:r w:rsidR="0059582B">
        <w:rPr>
          <w:sz w:val="24"/>
          <w:szCs w:val="24"/>
        </w:rPr>
        <w:t xml:space="preserve"> for changes and supplements to class assignments</w:t>
      </w:r>
      <w:r>
        <w:rPr>
          <w:sz w:val="24"/>
          <w:szCs w:val="24"/>
        </w:rPr>
        <w:t xml:space="preserve">. </w:t>
      </w:r>
    </w:p>
    <w:p w:rsidR="006B10AE" w:rsidRDefault="006B10AE" w:rsidP="006B10AE">
      <w:pPr>
        <w:rPr>
          <w:sz w:val="24"/>
          <w:szCs w:val="24"/>
        </w:rPr>
      </w:pPr>
    </w:p>
    <w:p w:rsidR="006B10AE" w:rsidRPr="00316AF9" w:rsidRDefault="006B10AE" w:rsidP="006B10AE">
      <w:pPr>
        <w:rPr>
          <w:sz w:val="24"/>
          <w:szCs w:val="24"/>
        </w:rPr>
      </w:pPr>
      <w:r>
        <w:rPr>
          <w:b/>
          <w:sz w:val="24"/>
          <w:szCs w:val="24"/>
        </w:rPr>
        <w:t xml:space="preserve">CLASS PARTICIPATION:  </w:t>
      </w:r>
      <w:r w:rsidR="0055301A">
        <w:rPr>
          <w:sz w:val="24"/>
          <w:szCs w:val="24"/>
        </w:rPr>
        <w:t xml:space="preserve">Each Chapter of </w:t>
      </w:r>
      <w:r w:rsidR="0055301A" w:rsidRPr="0055301A">
        <w:rPr>
          <w:i/>
          <w:sz w:val="24"/>
          <w:szCs w:val="24"/>
        </w:rPr>
        <w:t>Problems in Legal Ethics</w:t>
      </w:r>
      <w:r w:rsidR="0055301A">
        <w:rPr>
          <w:sz w:val="24"/>
          <w:szCs w:val="24"/>
        </w:rPr>
        <w:t xml:space="preserve"> contains discussion problems and questions.  A</w:t>
      </w:r>
      <w:r>
        <w:rPr>
          <w:sz w:val="24"/>
          <w:szCs w:val="24"/>
        </w:rPr>
        <w:t xml:space="preserve">ll students are expected to participate in class discussions </w:t>
      </w:r>
      <w:r w:rsidR="0055301A">
        <w:rPr>
          <w:sz w:val="24"/>
          <w:szCs w:val="24"/>
        </w:rPr>
        <w:t xml:space="preserve">of these and other questions posed by the reading material.  </w:t>
      </w:r>
      <w:r w:rsidR="0059582B">
        <w:rPr>
          <w:sz w:val="24"/>
          <w:szCs w:val="24"/>
        </w:rPr>
        <w:t xml:space="preserve">Your </w:t>
      </w:r>
      <w:r>
        <w:rPr>
          <w:sz w:val="24"/>
          <w:szCs w:val="24"/>
        </w:rPr>
        <w:t xml:space="preserve">participation in these </w:t>
      </w:r>
      <w:r w:rsidR="0059582B">
        <w:rPr>
          <w:sz w:val="24"/>
          <w:szCs w:val="24"/>
        </w:rPr>
        <w:t xml:space="preserve">discussions </w:t>
      </w:r>
      <w:r>
        <w:rPr>
          <w:sz w:val="24"/>
          <w:szCs w:val="24"/>
        </w:rPr>
        <w:t>will be</w:t>
      </w:r>
      <w:r w:rsidR="0059582B">
        <w:rPr>
          <w:sz w:val="24"/>
          <w:szCs w:val="24"/>
        </w:rPr>
        <w:t xml:space="preserve">come a part of your </w:t>
      </w:r>
      <w:r>
        <w:rPr>
          <w:sz w:val="24"/>
          <w:szCs w:val="24"/>
        </w:rPr>
        <w:t xml:space="preserve">final grade.  </w:t>
      </w:r>
      <w:r w:rsidR="0059582B">
        <w:rPr>
          <w:sz w:val="24"/>
          <w:szCs w:val="24"/>
        </w:rPr>
        <w:t>You may r</w:t>
      </w:r>
      <w:r>
        <w:rPr>
          <w:sz w:val="24"/>
          <w:szCs w:val="24"/>
        </w:rPr>
        <w:t xml:space="preserve">eceive a bump up of </w:t>
      </w:r>
      <w:r w:rsidR="0059582B">
        <w:rPr>
          <w:sz w:val="24"/>
          <w:szCs w:val="24"/>
        </w:rPr>
        <w:t xml:space="preserve">one-half a grade level (for example, from a B to a B+) </w:t>
      </w:r>
      <w:r>
        <w:rPr>
          <w:sz w:val="24"/>
          <w:szCs w:val="24"/>
        </w:rPr>
        <w:t>for exceptional participation in class discussions.</w:t>
      </w:r>
    </w:p>
    <w:p w:rsidR="006B10AE" w:rsidRDefault="006B10AE" w:rsidP="006B10AE">
      <w:pPr>
        <w:rPr>
          <w:sz w:val="24"/>
          <w:szCs w:val="24"/>
        </w:rPr>
      </w:pPr>
      <w:r>
        <w:rPr>
          <w:sz w:val="24"/>
          <w:szCs w:val="24"/>
        </w:rPr>
        <w:tab/>
      </w:r>
    </w:p>
    <w:p w:rsidR="0059582B" w:rsidRDefault="006B10AE" w:rsidP="006B10AE">
      <w:pPr>
        <w:rPr>
          <w:sz w:val="24"/>
          <w:szCs w:val="24"/>
        </w:rPr>
      </w:pPr>
      <w:r>
        <w:rPr>
          <w:b/>
          <w:bCs/>
          <w:sz w:val="24"/>
          <w:szCs w:val="24"/>
        </w:rPr>
        <w:t xml:space="preserve">GRADES:  </w:t>
      </w:r>
      <w:r>
        <w:rPr>
          <w:sz w:val="24"/>
          <w:szCs w:val="24"/>
        </w:rPr>
        <w:t xml:space="preserve">Your grade will be based on </w:t>
      </w:r>
      <w:r w:rsidR="0059582B">
        <w:rPr>
          <w:sz w:val="24"/>
          <w:szCs w:val="24"/>
        </w:rPr>
        <w:t xml:space="preserve">a final exam </w:t>
      </w:r>
      <w:r w:rsidR="00F2629B">
        <w:rPr>
          <w:sz w:val="24"/>
          <w:szCs w:val="24"/>
        </w:rPr>
        <w:t xml:space="preserve">and </w:t>
      </w:r>
      <w:r>
        <w:rPr>
          <w:sz w:val="24"/>
          <w:szCs w:val="24"/>
        </w:rPr>
        <w:t>the quality of your participation in class discussions</w:t>
      </w:r>
      <w:r w:rsidR="0059582B">
        <w:rPr>
          <w:sz w:val="24"/>
          <w:szCs w:val="24"/>
        </w:rPr>
        <w:t xml:space="preserve">.  </w:t>
      </w:r>
    </w:p>
    <w:p w:rsidR="0059582B" w:rsidRDefault="0059582B" w:rsidP="006B10AE">
      <w:pPr>
        <w:rPr>
          <w:sz w:val="24"/>
          <w:szCs w:val="24"/>
        </w:rPr>
      </w:pPr>
    </w:p>
    <w:p w:rsidR="00B01086" w:rsidRDefault="00B01086" w:rsidP="006B10AE">
      <w:pPr>
        <w:rPr>
          <w:sz w:val="24"/>
          <w:szCs w:val="24"/>
        </w:rPr>
      </w:pPr>
    </w:p>
    <w:p w:rsidR="00B01086" w:rsidRDefault="00B01086" w:rsidP="006B10AE">
      <w:pPr>
        <w:rPr>
          <w:sz w:val="24"/>
          <w:szCs w:val="24"/>
        </w:rPr>
      </w:pPr>
    </w:p>
    <w:p w:rsidR="00B01086" w:rsidRDefault="00B01086" w:rsidP="006B10AE">
      <w:pPr>
        <w:rPr>
          <w:sz w:val="24"/>
          <w:szCs w:val="24"/>
        </w:rPr>
      </w:pPr>
    </w:p>
    <w:p w:rsidR="0093044E" w:rsidRDefault="006B10AE" w:rsidP="006B10AE">
      <w:pPr>
        <w:rPr>
          <w:sz w:val="24"/>
          <w:szCs w:val="24"/>
        </w:rPr>
      </w:pPr>
      <w:r>
        <w:rPr>
          <w:sz w:val="24"/>
          <w:szCs w:val="24"/>
        </w:rPr>
        <w:lastRenderedPageBreak/>
        <w:tab/>
      </w:r>
      <w:r>
        <w:rPr>
          <w:sz w:val="24"/>
          <w:szCs w:val="24"/>
        </w:rPr>
        <w:tab/>
      </w:r>
      <w:r>
        <w:rPr>
          <w:sz w:val="24"/>
          <w:szCs w:val="24"/>
        </w:rPr>
        <w:tab/>
      </w:r>
      <w:r>
        <w:rPr>
          <w:sz w:val="24"/>
          <w:szCs w:val="24"/>
        </w:rPr>
        <w:tab/>
        <w:t xml:space="preserve">         </w:t>
      </w:r>
    </w:p>
    <w:p w:rsidR="0093044E" w:rsidRDefault="0093044E" w:rsidP="006B10AE">
      <w:pPr>
        <w:rPr>
          <w:sz w:val="24"/>
          <w:szCs w:val="24"/>
        </w:rPr>
      </w:pPr>
    </w:p>
    <w:p w:rsidR="0093044E" w:rsidRDefault="0093044E" w:rsidP="006B10AE">
      <w:pPr>
        <w:rPr>
          <w:sz w:val="24"/>
          <w:szCs w:val="24"/>
        </w:rPr>
      </w:pPr>
    </w:p>
    <w:p w:rsidR="006B10AE" w:rsidRDefault="006B10AE" w:rsidP="0093044E">
      <w:pPr>
        <w:jc w:val="center"/>
        <w:rPr>
          <w:b/>
          <w:bCs/>
          <w:sz w:val="24"/>
          <w:szCs w:val="24"/>
        </w:rPr>
      </w:pPr>
      <w:r>
        <w:rPr>
          <w:b/>
          <w:bCs/>
          <w:sz w:val="24"/>
          <w:szCs w:val="24"/>
        </w:rPr>
        <w:t>COURSE OUTLINE</w:t>
      </w:r>
    </w:p>
    <w:p w:rsidR="00B01086" w:rsidRDefault="00B01086" w:rsidP="005C2909">
      <w:pPr>
        <w:rPr>
          <w:sz w:val="24"/>
          <w:szCs w:val="24"/>
        </w:rPr>
      </w:pPr>
    </w:p>
    <w:p w:rsidR="005B564A" w:rsidRDefault="00024FF3" w:rsidP="005C2909">
      <w:pPr>
        <w:rPr>
          <w:bCs/>
          <w:sz w:val="24"/>
          <w:szCs w:val="24"/>
        </w:rPr>
      </w:pPr>
      <w:r>
        <w:rPr>
          <w:b/>
          <w:sz w:val="24"/>
          <w:szCs w:val="24"/>
        </w:rPr>
        <w:t>CLASS ASSIGNMENT AND DATE:</w:t>
      </w:r>
      <w:r w:rsidR="005C2909">
        <w:rPr>
          <w:b/>
          <w:sz w:val="24"/>
          <w:szCs w:val="24"/>
        </w:rPr>
        <w:t xml:space="preserve">  </w:t>
      </w:r>
      <w:r w:rsidR="005C2909" w:rsidRPr="005C2909">
        <w:rPr>
          <w:bCs/>
          <w:sz w:val="24"/>
          <w:szCs w:val="24"/>
        </w:rPr>
        <w:t xml:space="preserve">The reading assignments and topics covered in this class are set out below.    </w:t>
      </w:r>
    </w:p>
    <w:p w:rsidR="005C2909" w:rsidRPr="005C2909" w:rsidRDefault="005C2909" w:rsidP="005C2909">
      <w:pPr>
        <w:rPr>
          <w:sz w:val="24"/>
          <w:szCs w:val="24"/>
        </w:rPr>
      </w:pPr>
    </w:p>
    <w:p w:rsidR="006B10AE" w:rsidRPr="002D75C4" w:rsidRDefault="00175BD9" w:rsidP="006B10AE">
      <w:pPr>
        <w:spacing w:line="480" w:lineRule="auto"/>
        <w:rPr>
          <w:b/>
          <w:sz w:val="24"/>
          <w:szCs w:val="24"/>
        </w:rPr>
      </w:pPr>
      <w:r>
        <w:rPr>
          <w:b/>
          <w:sz w:val="24"/>
          <w:szCs w:val="24"/>
        </w:rPr>
        <w:t xml:space="preserve">             Assignment No.</w:t>
      </w:r>
      <w:r>
        <w:rPr>
          <w:rStyle w:val="FootnoteReference"/>
          <w:b/>
          <w:sz w:val="24"/>
          <w:szCs w:val="24"/>
        </w:rPr>
        <w:footnoteReference w:id="1"/>
      </w:r>
      <w:r w:rsidR="005B564A">
        <w:rPr>
          <w:b/>
          <w:sz w:val="24"/>
          <w:szCs w:val="24"/>
        </w:rPr>
        <w:tab/>
      </w:r>
      <w:r w:rsidR="005B564A">
        <w:rPr>
          <w:b/>
          <w:sz w:val="24"/>
          <w:szCs w:val="24"/>
        </w:rPr>
        <w:tab/>
      </w:r>
      <w:r w:rsidR="005B564A">
        <w:rPr>
          <w:b/>
          <w:sz w:val="24"/>
          <w:szCs w:val="24"/>
        </w:rPr>
        <w:tab/>
        <w:t xml:space="preserve">      Subject</w:t>
      </w:r>
      <w:r w:rsidR="006B10AE" w:rsidRPr="002D75C4">
        <w:rPr>
          <w:b/>
          <w:sz w:val="24"/>
          <w:szCs w:val="24"/>
        </w:rPr>
        <w:tab/>
      </w:r>
      <w:r w:rsidR="006B10AE" w:rsidRPr="002D75C4">
        <w:rPr>
          <w:b/>
          <w:sz w:val="24"/>
          <w:szCs w:val="24"/>
        </w:rPr>
        <w:tab/>
      </w:r>
      <w:r w:rsidR="006B10AE" w:rsidRPr="002D75C4">
        <w:rPr>
          <w:b/>
          <w:sz w:val="24"/>
          <w:szCs w:val="24"/>
        </w:rPr>
        <w:tab/>
      </w:r>
      <w:r w:rsidR="005B564A">
        <w:rPr>
          <w:b/>
          <w:sz w:val="24"/>
          <w:szCs w:val="24"/>
        </w:rPr>
        <w:t xml:space="preserve">   Reading Assignment</w:t>
      </w:r>
      <w:r w:rsidR="006B10AE" w:rsidRPr="002D75C4">
        <w:rPr>
          <w:b/>
          <w:sz w:val="24"/>
          <w:szCs w:val="24"/>
        </w:rPr>
        <w:tab/>
      </w:r>
    </w:p>
    <w:tbl>
      <w:tblPr>
        <w:tblStyle w:val="TableGrid"/>
        <w:tblW w:w="0" w:type="auto"/>
        <w:tblLook w:val="04A0" w:firstRow="1" w:lastRow="0" w:firstColumn="1" w:lastColumn="0" w:noHBand="0" w:noVBand="1"/>
      </w:tblPr>
      <w:tblGrid>
        <w:gridCol w:w="3102"/>
        <w:gridCol w:w="3124"/>
        <w:gridCol w:w="3124"/>
      </w:tblGrid>
      <w:tr w:rsidR="00A96D57" w:rsidTr="00A96D57">
        <w:tc>
          <w:tcPr>
            <w:tcW w:w="3192" w:type="dxa"/>
          </w:tcPr>
          <w:p w:rsidR="00A96D57" w:rsidRDefault="00175BD9" w:rsidP="00175BD9">
            <w:r>
              <w:t>1</w:t>
            </w:r>
          </w:p>
        </w:tc>
        <w:tc>
          <w:tcPr>
            <w:tcW w:w="3192" w:type="dxa"/>
          </w:tcPr>
          <w:p w:rsidR="00A96D57" w:rsidRDefault="00FD3C02" w:rsidP="00FD3C02">
            <w:r>
              <w:t>Sources and Application of Legal Ethics Rules</w:t>
            </w:r>
            <w:r w:rsidR="00824194">
              <w:t>; Admission to the Bar</w:t>
            </w:r>
          </w:p>
        </w:tc>
        <w:tc>
          <w:tcPr>
            <w:tcW w:w="3192" w:type="dxa"/>
          </w:tcPr>
          <w:p w:rsidR="00A96D57" w:rsidRDefault="005B564A" w:rsidP="00655FBF">
            <w:r>
              <w:rPr>
                <w:i/>
              </w:rPr>
              <w:t xml:space="preserve">Problems In Legal Ethics, </w:t>
            </w:r>
            <w:r w:rsidR="00FD3C02">
              <w:t>Ch</w:t>
            </w:r>
            <w:r>
              <w:t xml:space="preserve">apter </w:t>
            </w:r>
            <w:r w:rsidR="00FD3C02">
              <w:t>Two, pages 2</w:t>
            </w:r>
            <w:r w:rsidR="00BB384B">
              <w:t>9</w:t>
            </w:r>
            <w:r w:rsidR="00FD3C02">
              <w:t>-</w:t>
            </w:r>
            <w:r w:rsidR="00D17BD7">
              <w:t>46</w:t>
            </w:r>
            <w:r w:rsidR="00583E64">
              <w:t xml:space="preserve">; </w:t>
            </w:r>
            <w:r w:rsidR="00BB384B">
              <w:t>224-227</w:t>
            </w:r>
            <w:r w:rsidR="00F8005E">
              <w:t xml:space="preserve">; </w:t>
            </w:r>
            <w:r w:rsidR="002102DF">
              <w:rPr>
                <w:i/>
              </w:rPr>
              <w:t>Regu</w:t>
            </w:r>
            <w:r w:rsidR="000D1378">
              <w:rPr>
                <w:i/>
              </w:rPr>
              <w:t xml:space="preserve">lation </w:t>
            </w:r>
            <w:r w:rsidR="002102DF">
              <w:rPr>
                <w:i/>
              </w:rPr>
              <w:t xml:space="preserve"> of Lawyers, </w:t>
            </w:r>
            <w:r w:rsidR="00E7114F">
              <w:t xml:space="preserve">page </w:t>
            </w:r>
            <w:r w:rsidR="000D1378">
              <w:t>11</w:t>
            </w:r>
            <w:r w:rsidR="00E7114F">
              <w:t>-</w:t>
            </w:r>
            <w:r w:rsidR="000D1378">
              <w:t xml:space="preserve">14 </w:t>
            </w:r>
            <w:r w:rsidR="00E7114F">
              <w:t>(Preamble; Scope)</w:t>
            </w:r>
            <w:r w:rsidR="00655FBF">
              <w:t xml:space="preserve">  Maryland Rule 19-300.1 (Maryland Preamble)</w:t>
            </w:r>
            <w:r w:rsidR="00824194">
              <w:t>;</w:t>
            </w:r>
            <w:r w:rsidR="00655FBF">
              <w:t xml:space="preserve"> </w:t>
            </w:r>
            <w:r w:rsidR="00824194" w:rsidRPr="00824194">
              <w:rPr>
                <w:i/>
              </w:rPr>
              <w:t>Application of Strzempek</w:t>
            </w:r>
            <w:r w:rsidR="00824194">
              <w:t xml:space="preserve">, 407 Md. 102 (2008); </w:t>
            </w:r>
            <w:r w:rsidR="00824194" w:rsidRPr="00824194">
              <w:rPr>
                <w:i/>
              </w:rPr>
              <w:t>Application of Allan S</w:t>
            </w:r>
            <w:r w:rsidR="00824194">
              <w:t>. 282 Md. 683 (1978)</w:t>
            </w:r>
            <w:r w:rsidR="001F2AE5">
              <w:t>; Maryland Rule</w:t>
            </w:r>
            <w:r w:rsidR="000D1378">
              <w:t xml:space="preserve"> 19-203</w:t>
            </w:r>
            <w:r w:rsidR="00655FBF">
              <w:t xml:space="preserve"> (</w:t>
            </w:r>
            <w:r w:rsidR="00B73538">
              <w:t>Ad</w:t>
            </w:r>
            <w:r w:rsidR="001F2AE5">
              <w:t xml:space="preserve">mission to the Bar, </w:t>
            </w:r>
            <w:r w:rsidR="00B73538">
              <w:t>Character Review</w:t>
            </w:r>
            <w:r w:rsidR="00655FBF">
              <w:t>)</w:t>
            </w:r>
          </w:p>
        </w:tc>
      </w:tr>
      <w:tr w:rsidR="005B564A" w:rsidTr="00A96D57">
        <w:tc>
          <w:tcPr>
            <w:tcW w:w="3192" w:type="dxa"/>
          </w:tcPr>
          <w:p w:rsidR="005B564A" w:rsidRDefault="00175BD9" w:rsidP="0061495F">
            <w:r>
              <w:t>2</w:t>
            </w:r>
          </w:p>
          <w:p w:rsidR="002E53AF" w:rsidRDefault="002E53AF" w:rsidP="00B73538">
            <w:r>
              <w:t>Guest Speaker: Maryland Bar Counsel</w:t>
            </w:r>
          </w:p>
        </w:tc>
        <w:tc>
          <w:tcPr>
            <w:tcW w:w="3192" w:type="dxa"/>
          </w:tcPr>
          <w:p w:rsidR="005B564A" w:rsidRDefault="001F2AE5" w:rsidP="001F2AE5">
            <w:r>
              <w:t>Attorney Discipline</w:t>
            </w:r>
            <w:r w:rsidR="00655FBF">
              <w:t xml:space="preserve"> Process</w:t>
            </w:r>
          </w:p>
        </w:tc>
        <w:tc>
          <w:tcPr>
            <w:tcW w:w="3192" w:type="dxa"/>
          </w:tcPr>
          <w:p w:rsidR="005B564A" w:rsidRDefault="001F2AE5" w:rsidP="00D17BD7">
            <w:r>
              <w:rPr>
                <w:i/>
              </w:rPr>
              <w:t xml:space="preserve">Problems In Legal Ethics, </w:t>
            </w:r>
            <w:r>
              <w:t xml:space="preserve">Chapter Two, pages </w:t>
            </w:r>
            <w:r w:rsidR="00D17BD7">
              <w:t>47-59</w:t>
            </w:r>
            <w:r>
              <w:t xml:space="preserve">; </w:t>
            </w:r>
            <w:r w:rsidR="00D17BD7">
              <w:t>65</w:t>
            </w:r>
            <w:r>
              <w:t>-</w:t>
            </w:r>
            <w:r w:rsidR="00D17BD7">
              <w:t>74</w:t>
            </w:r>
          </w:p>
        </w:tc>
      </w:tr>
      <w:tr w:rsidR="005B564A" w:rsidTr="00A96D57">
        <w:tc>
          <w:tcPr>
            <w:tcW w:w="3192" w:type="dxa"/>
          </w:tcPr>
          <w:p w:rsidR="005B564A" w:rsidRDefault="00175BD9" w:rsidP="00175BD9">
            <w:r>
              <w:t>3</w:t>
            </w:r>
          </w:p>
        </w:tc>
        <w:tc>
          <w:tcPr>
            <w:tcW w:w="3192" w:type="dxa"/>
          </w:tcPr>
          <w:p w:rsidR="005B564A" w:rsidRDefault="0026347F" w:rsidP="0026347F">
            <w:r>
              <w:t xml:space="preserve">Beginning and Ending the Lawyer Client Relationship </w:t>
            </w:r>
          </w:p>
        </w:tc>
        <w:tc>
          <w:tcPr>
            <w:tcW w:w="3192" w:type="dxa"/>
          </w:tcPr>
          <w:p w:rsidR="005B564A" w:rsidRDefault="00834AC6" w:rsidP="00B73538">
            <w:r>
              <w:rPr>
                <w:i/>
              </w:rPr>
              <w:t xml:space="preserve">Problems In Legal Ethics, </w:t>
            </w:r>
            <w:r>
              <w:t xml:space="preserve">Chapter Three; </w:t>
            </w:r>
            <w:r w:rsidR="00B73538" w:rsidRPr="00B73538">
              <w:rPr>
                <w:i/>
              </w:rPr>
              <w:t>Regulation of Lawyers</w:t>
            </w:r>
            <w:r w:rsidR="00B73538">
              <w:t xml:space="preserve">, </w:t>
            </w:r>
            <w:r>
              <w:t xml:space="preserve">Model Rules 1.16, </w:t>
            </w:r>
            <w:r w:rsidR="0061495F">
              <w:t>1.18, 3.1, 6.1, 6.2</w:t>
            </w:r>
            <w:r w:rsidR="0055301A">
              <w:t xml:space="preserve"> </w:t>
            </w:r>
            <w:r w:rsidR="00B33F25">
              <w:t xml:space="preserve"> and comment</w:t>
            </w:r>
          </w:p>
        </w:tc>
      </w:tr>
      <w:tr w:rsidR="005B564A" w:rsidTr="00A96D57">
        <w:tc>
          <w:tcPr>
            <w:tcW w:w="3192" w:type="dxa"/>
          </w:tcPr>
          <w:p w:rsidR="001344BF" w:rsidRDefault="00175BD9" w:rsidP="00175BD9">
            <w:r>
              <w:t>4</w:t>
            </w:r>
          </w:p>
        </w:tc>
        <w:tc>
          <w:tcPr>
            <w:tcW w:w="3192" w:type="dxa"/>
          </w:tcPr>
          <w:p w:rsidR="005B564A" w:rsidRDefault="00243477" w:rsidP="006B10AE">
            <w:r>
              <w:t>Beginning and Ending the Lawyer Client Relationship</w:t>
            </w:r>
            <w:r w:rsidR="00D17BD7">
              <w:t>- continued</w:t>
            </w:r>
          </w:p>
        </w:tc>
        <w:tc>
          <w:tcPr>
            <w:tcW w:w="3192" w:type="dxa"/>
          </w:tcPr>
          <w:p w:rsidR="005B564A" w:rsidRDefault="000D3072" w:rsidP="000D3072">
            <w:r>
              <w:t>Continue Assignment No. 3</w:t>
            </w:r>
          </w:p>
        </w:tc>
      </w:tr>
      <w:tr w:rsidR="005B564A" w:rsidTr="00A96D57">
        <w:tc>
          <w:tcPr>
            <w:tcW w:w="3192" w:type="dxa"/>
          </w:tcPr>
          <w:p w:rsidR="005B564A" w:rsidRDefault="00175BD9" w:rsidP="00175BD9">
            <w:r>
              <w:t>5</w:t>
            </w:r>
          </w:p>
        </w:tc>
        <w:tc>
          <w:tcPr>
            <w:tcW w:w="3192" w:type="dxa"/>
          </w:tcPr>
          <w:p w:rsidR="005B564A" w:rsidRDefault="008E7623" w:rsidP="006B10AE">
            <w:r>
              <w:t>Solicitation and Advertising</w:t>
            </w:r>
          </w:p>
        </w:tc>
        <w:tc>
          <w:tcPr>
            <w:tcW w:w="3192" w:type="dxa"/>
          </w:tcPr>
          <w:p w:rsidR="005B564A" w:rsidRDefault="008E7623" w:rsidP="00B73538">
            <w:r>
              <w:rPr>
                <w:i/>
              </w:rPr>
              <w:t xml:space="preserve">Problems In Legal Ethics, </w:t>
            </w:r>
            <w:r w:rsidR="00B73538">
              <w:t xml:space="preserve">Chapter Four, </w:t>
            </w:r>
            <w:r w:rsidR="00B73538">
              <w:rPr>
                <w:i/>
              </w:rPr>
              <w:t xml:space="preserve">Regulation of Lawyers, </w:t>
            </w:r>
            <w:r>
              <w:t>Model Rules 7.1 – 7.5</w:t>
            </w:r>
            <w:r w:rsidR="0013232A">
              <w:t xml:space="preserve"> and comment</w:t>
            </w:r>
          </w:p>
        </w:tc>
      </w:tr>
      <w:tr w:rsidR="005B564A" w:rsidTr="00A96D57">
        <w:tc>
          <w:tcPr>
            <w:tcW w:w="3192" w:type="dxa"/>
          </w:tcPr>
          <w:p w:rsidR="005B564A" w:rsidRDefault="00175BD9" w:rsidP="00175BD9">
            <w:r>
              <w:t>6</w:t>
            </w:r>
          </w:p>
        </w:tc>
        <w:tc>
          <w:tcPr>
            <w:tcW w:w="3192" w:type="dxa"/>
          </w:tcPr>
          <w:p w:rsidR="005B564A" w:rsidRDefault="0093398C" w:rsidP="006B10AE">
            <w:r>
              <w:t>Attorney Fees and Fiduciary Duties</w:t>
            </w:r>
          </w:p>
        </w:tc>
        <w:tc>
          <w:tcPr>
            <w:tcW w:w="3192" w:type="dxa"/>
          </w:tcPr>
          <w:p w:rsidR="005C2909" w:rsidRDefault="0093398C" w:rsidP="000D3072">
            <w:r>
              <w:rPr>
                <w:i/>
              </w:rPr>
              <w:t xml:space="preserve">Problems In Legal Ethics, </w:t>
            </w:r>
            <w:r>
              <w:t>Chapter Five</w:t>
            </w:r>
            <w:r w:rsidR="000D3072">
              <w:t>;</w:t>
            </w:r>
            <w:r>
              <w:t xml:space="preserve"> </w:t>
            </w:r>
            <w:r w:rsidR="00B73538">
              <w:rPr>
                <w:i/>
              </w:rPr>
              <w:t>Regulation of Lawyers,</w:t>
            </w:r>
            <w:r>
              <w:t xml:space="preserve"> Model Rules 1.5, 1.8, 1.15</w:t>
            </w:r>
            <w:r w:rsidR="0013232A">
              <w:t xml:space="preserve"> and comment</w:t>
            </w:r>
          </w:p>
        </w:tc>
      </w:tr>
      <w:tr w:rsidR="005B564A" w:rsidTr="00A96D57">
        <w:tc>
          <w:tcPr>
            <w:tcW w:w="3192" w:type="dxa"/>
          </w:tcPr>
          <w:p w:rsidR="005B564A" w:rsidRDefault="00175BD9" w:rsidP="00A2207A">
            <w:r>
              <w:t>7</w:t>
            </w:r>
          </w:p>
        </w:tc>
        <w:tc>
          <w:tcPr>
            <w:tcW w:w="3192" w:type="dxa"/>
          </w:tcPr>
          <w:p w:rsidR="005B564A" w:rsidRDefault="00A2207A" w:rsidP="006B10AE">
            <w:r>
              <w:t>Attorney Fees and Fiduciary Duties</w:t>
            </w:r>
          </w:p>
        </w:tc>
        <w:tc>
          <w:tcPr>
            <w:tcW w:w="3192" w:type="dxa"/>
          </w:tcPr>
          <w:p w:rsidR="005B564A" w:rsidRDefault="00A2207A" w:rsidP="00B73538">
            <w:r w:rsidRPr="00A2207A">
              <w:rPr>
                <w:i/>
              </w:rPr>
              <w:t>Post v. Bregman</w:t>
            </w:r>
            <w:r>
              <w:t xml:space="preserve">, 349 Md. 142 (1998); </w:t>
            </w:r>
            <w:r w:rsidRPr="00A2207A">
              <w:rPr>
                <w:i/>
              </w:rPr>
              <w:t>Son v. Margolius</w:t>
            </w:r>
            <w:r>
              <w:t xml:space="preserve">, 349 Md. 441 (1998); Maryland Lawyers Rules of Professional Conduct, Rules </w:t>
            </w:r>
            <w:r w:rsidR="00B73538">
              <w:t>19-301.</w:t>
            </w:r>
            <w:r>
              <w:t xml:space="preserve">15, </w:t>
            </w:r>
            <w:r w:rsidR="00B73538">
              <w:t xml:space="preserve">19-301.16 </w:t>
            </w:r>
            <w:r w:rsidR="0013232A">
              <w:t>and comment</w:t>
            </w:r>
          </w:p>
        </w:tc>
      </w:tr>
      <w:tr w:rsidR="005B564A" w:rsidTr="00A96D57">
        <w:tc>
          <w:tcPr>
            <w:tcW w:w="3192" w:type="dxa"/>
          </w:tcPr>
          <w:p w:rsidR="005B564A" w:rsidRDefault="00175BD9" w:rsidP="00F8005E">
            <w:r>
              <w:t>8</w:t>
            </w:r>
          </w:p>
        </w:tc>
        <w:tc>
          <w:tcPr>
            <w:tcW w:w="3192" w:type="dxa"/>
          </w:tcPr>
          <w:p w:rsidR="005B564A" w:rsidRDefault="00F8409D" w:rsidP="006B10AE">
            <w:r>
              <w:t>Competence, Diligence, and Unauthorized Practice</w:t>
            </w:r>
          </w:p>
        </w:tc>
        <w:tc>
          <w:tcPr>
            <w:tcW w:w="3192" w:type="dxa"/>
          </w:tcPr>
          <w:p w:rsidR="005B564A" w:rsidRDefault="004C52B2" w:rsidP="00B73538">
            <w:r>
              <w:rPr>
                <w:i/>
              </w:rPr>
              <w:t xml:space="preserve">Problems In Legal Ethics, </w:t>
            </w:r>
            <w:r>
              <w:t>Chapter Six</w:t>
            </w:r>
            <w:r w:rsidR="00B73538">
              <w:t>;</w:t>
            </w:r>
            <w:r>
              <w:t xml:space="preserve"> </w:t>
            </w:r>
            <w:r w:rsidR="00B73538">
              <w:rPr>
                <w:i/>
              </w:rPr>
              <w:t xml:space="preserve">Regulation </w:t>
            </w:r>
            <w:r w:rsidR="000D3072">
              <w:rPr>
                <w:i/>
              </w:rPr>
              <w:t>of Lawyers,</w:t>
            </w:r>
            <w:r w:rsidR="00F8005E">
              <w:t xml:space="preserve"> Model Rules 1.1-1.4, 1.8(h), 1.18, 5.3-5.5</w:t>
            </w:r>
            <w:r w:rsidR="0013232A">
              <w:t xml:space="preserve"> and comment</w:t>
            </w:r>
          </w:p>
        </w:tc>
      </w:tr>
      <w:tr w:rsidR="00F8005E" w:rsidTr="00A96D57">
        <w:tc>
          <w:tcPr>
            <w:tcW w:w="3192" w:type="dxa"/>
          </w:tcPr>
          <w:p w:rsidR="00F8005E" w:rsidRDefault="00175BD9" w:rsidP="00F8005E">
            <w:r>
              <w:t>9</w:t>
            </w:r>
          </w:p>
        </w:tc>
        <w:tc>
          <w:tcPr>
            <w:tcW w:w="3192" w:type="dxa"/>
          </w:tcPr>
          <w:p w:rsidR="00F8005E" w:rsidRDefault="00F8005E" w:rsidP="00F8005E">
            <w:r>
              <w:t>Competence, Diligence, and Unauthorized Practice (Continued)</w:t>
            </w:r>
          </w:p>
        </w:tc>
        <w:tc>
          <w:tcPr>
            <w:tcW w:w="3192" w:type="dxa"/>
          </w:tcPr>
          <w:p w:rsidR="00F8005E" w:rsidRDefault="00F8005E" w:rsidP="00BE788B">
            <w:r>
              <w:t xml:space="preserve">Continued </w:t>
            </w:r>
            <w:r w:rsidR="00BE788B">
              <w:t>Assignment No. 8</w:t>
            </w:r>
          </w:p>
        </w:tc>
      </w:tr>
      <w:tr w:rsidR="005B564A" w:rsidTr="00A96D57">
        <w:tc>
          <w:tcPr>
            <w:tcW w:w="3192" w:type="dxa"/>
          </w:tcPr>
          <w:p w:rsidR="005B564A" w:rsidRDefault="00175BD9" w:rsidP="00F8005E">
            <w:r>
              <w:lastRenderedPageBreak/>
              <w:t>10</w:t>
            </w:r>
          </w:p>
        </w:tc>
        <w:tc>
          <w:tcPr>
            <w:tcW w:w="3192" w:type="dxa"/>
          </w:tcPr>
          <w:p w:rsidR="005B564A" w:rsidRDefault="00F8409D" w:rsidP="006B10AE">
            <w:r>
              <w:t>Confidential Information</w:t>
            </w:r>
          </w:p>
        </w:tc>
        <w:tc>
          <w:tcPr>
            <w:tcW w:w="3192" w:type="dxa"/>
          </w:tcPr>
          <w:p w:rsidR="005B564A" w:rsidRDefault="004C52B2" w:rsidP="000D3072">
            <w:r>
              <w:rPr>
                <w:i/>
              </w:rPr>
              <w:t xml:space="preserve">Problems In Legal Ethics, </w:t>
            </w:r>
            <w:r>
              <w:t>Chapter Seven</w:t>
            </w:r>
            <w:r w:rsidR="000D3072">
              <w:t xml:space="preserve">; </w:t>
            </w:r>
            <w:r w:rsidR="000D3072">
              <w:rPr>
                <w:i/>
              </w:rPr>
              <w:t xml:space="preserve">Regulation of Lawyers, </w:t>
            </w:r>
            <w:r w:rsidR="00F8005E">
              <w:t>Model Rules 1.2(d), 1.6, 1.8(b), 1.9(b), 3.3, 3.4(a), 4.1</w:t>
            </w:r>
            <w:r w:rsidR="0013232A">
              <w:t xml:space="preserve"> and comment</w:t>
            </w:r>
          </w:p>
        </w:tc>
      </w:tr>
      <w:tr w:rsidR="005B564A" w:rsidTr="00A96D57">
        <w:tc>
          <w:tcPr>
            <w:tcW w:w="3192" w:type="dxa"/>
          </w:tcPr>
          <w:p w:rsidR="005B564A" w:rsidRDefault="00175BD9" w:rsidP="00734AF3">
            <w:r>
              <w:t>11</w:t>
            </w:r>
          </w:p>
        </w:tc>
        <w:tc>
          <w:tcPr>
            <w:tcW w:w="3192" w:type="dxa"/>
          </w:tcPr>
          <w:p w:rsidR="005B564A" w:rsidRDefault="00F8409D" w:rsidP="006B10AE">
            <w:r>
              <w:t>Confidential Information</w:t>
            </w:r>
          </w:p>
        </w:tc>
        <w:tc>
          <w:tcPr>
            <w:tcW w:w="3192" w:type="dxa"/>
          </w:tcPr>
          <w:p w:rsidR="006164FF" w:rsidRDefault="006164FF" w:rsidP="00BE788B">
            <w:r>
              <w:t xml:space="preserve">Continue </w:t>
            </w:r>
            <w:r w:rsidR="00BE788B">
              <w:t>Assignment No. 10</w:t>
            </w:r>
          </w:p>
        </w:tc>
      </w:tr>
      <w:tr w:rsidR="005B564A" w:rsidTr="00A96D57">
        <w:tc>
          <w:tcPr>
            <w:tcW w:w="3192" w:type="dxa"/>
          </w:tcPr>
          <w:p w:rsidR="005B564A" w:rsidRDefault="00175BD9" w:rsidP="006164FF">
            <w:r>
              <w:t>12</w:t>
            </w:r>
          </w:p>
        </w:tc>
        <w:tc>
          <w:tcPr>
            <w:tcW w:w="3192" w:type="dxa"/>
          </w:tcPr>
          <w:p w:rsidR="005B564A" w:rsidRDefault="00F8409D" w:rsidP="006B10AE">
            <w:r>
              <w:t>Candor</w:t>
            </w:r>
          </w:p>
        </w:tc>
        <w:tc>
          <w:tcPr>
            <w:tcW w:w="3192" w:type="dxa"/>
          </w:tcPr>
          <w:p w:rsidR="005B564A" w:rsidRDefault="004C52B2" w:rsidP="000D3072">
            <w:r>
              <w:rPr>
                <w:i/>
              </w:rPr>
              <w:t xml:space="preserve">Problems In Legal Ethics, </w:t>
            </w:r>
            <w:r>
              <w:t>Chapter Eight</w:t>
            </w:r>
            <w:r w:rsidR="006164FF">
              <w:t xml:space="preserve">; </w:t>
            </w:r>
            <w:r w:rsidR="000D3072">
              <w:rPr>
                <w:i/>
              </w:rPr>
              <w:t xml:space="preserve">Regulation of Lawyers, </w:t>
            </w:r>
            <w:r w:rsidR="000D3072">
              <w:t>Mo</w:t>
            </w:r>
            <w:r w:rsidR="006164FF">
              <w:t>del Rules 1.6, 3.3, 4.1.8.1, 8.4(c)</w:t>
            </w:r>
            <w:r w:rsidR="0013232A">
              <w:t xml:space="preserve"> and comment</w:t>
            </w:r>
          </w:p>
        </w:tc>
      </w:tr>
      <w:tr w:rsidR="005B564A" w:rsidTr="00A96D57">
        <w:tc>
          <w:tcPr>
            <w:tcW w:w="3192" w:type="dxa"/>
          </w:tcPr>
          <w:p w:rsidR="005B564A" w:rsidRDefault="00175BD9" w:rsidP="006164FF">
            <w:r>
              <w:t>13</w:t>
            </w:r>
          </w:p>
        </w:tc>
        <w:tc>
          <w:tcPr>
            <w:tcW w:w="3192" w:type="dxa"/>
          </w:tcPr>
          <w:p w:rsidR="005B564A" w:rsidRDefault="00F8409D" w:rsidP="006B10AE">
            <w:r>
              <w:t>Candor</w:t>
            </w:r>
          </w:p>
        </w:tc>
        <w:tc>
          <w:tcPr>
            <w:tcW w:w="3192" w:type="dxa"/>
          </w:tcPr>
          <w:p w:rsidR="005B564A" w:rsidRDefault="006164FF" w:rsidP="006B10AE">
            <w:r>
              <w:t xml:space="preserve">Continue </w:t>
            </w:r>
            <w:r w:rsidR="00BE788B">
              <w:t>Assignment No. 12</w:t>
            </w:r>
          </w:p>
          <w:p w:rsidR="006164FF" w:rsidRDefault="006164FF" w:rsidP="006B10AE"/>
        </w:tc>
      </w:tr>
      <w:tr w:rsidR="006164FF" w:rsidTr="00A96D57">
        <w:tc>
          <w:tcPr>
            <w:tcW w:w="3192" w:type="dxa"/>
          </w:tcPr>
          <w:p w:rsidR="006164FF" w:rsidRDefault="00175BD9" w:rsidP="006164FF">
            <w:r>
              <w:t>14</w:t>
            </w:r>
          </w:p>
          <w:p w:rsidR="00296602" w:rsidRDefault="00296602" w:rsidP="000D3072">
            <w:r>
              <w:t>Guest Speaker: Hon. Lynne A. Battaglia, Maryland Court of Appeals</w:t>
            </w:r>
            <w:r w:rsidR="000D3072">
              <w:t xml:space="preserve"> (Ret.)</w:t>
            </w:r>
            <w:r>
              <w:t xml:space="preserve"> </w:t>
            </w:r>
          </w:p>
        </w:tc>
        <w:tc>
          <w:tcPr>
            <w:tcW w:w="3192" w:type="dxa"/>
          </w:tcPr>
          <w:p w:rsidR="006164FF" w:rsidRDefault="00296602" w:rsidP="006B10AE">
            <w:r>
              <w:t>Professionalism, Civility, and Errant Attorneys</w:t>
            </w:r>
          </w:p>
        </w:tc>
        <w:tc>
          <w:tcPr>
            <w:tcW w:w="3192" w:type="dxa"/>
          </w:tcPr>
          <w:p w:rsidR="00296602" w:rsidRPr="00296602" w:rsidRDefault="00913E32" w:rsidP="00913E32">
            <w:pPr>
              <w:rPr>
                <w:rFonts w:ascii="Verdana" w:hAnsi="Verdana"/>
                <w:color w:val="333333"/>
              </w:rPr>
            </w:pPr>
            <w:r>
              <w:t>Maryland Rules Appendix</w:t>
            </w:r>
            <w:r w:rsidR="000D3072">
              <w:t xml:space="preserve"> 19-B</w:t>
            </w:r>
            <w:r>
              <w:t xml:space="preserve">: Ideals of Professionalism; </w:t>
            </w:r>
            <w:r w:rsidRPr="00913E32">
              <w:rPr>
                <w:i/>
              </w:rPr>
              <w:t>Attorney Grievance Commission v. Link</w:t>
            </w:r>
            <w:r>
              <w:t xml:space="preserve">, 380 Md. 405 (2004); </w:t>
            </w:r>
            <w:r w:rsidRPr="00913E32">
              <w:rPr>
                <w:i/>
              </w:rPr>
              <w:t>Attorney Grievance Commission v. Usiak</w:t>
            </w:r>
            <w:r>
              <w:t>, 418 Md. 667 (2011)</w:t>
            </w:r>
          </w:p>
        </w:tc>
      </w:tr>
      <w:tr w:rsidR="005B564A" w:rsidTr="00A96D57">
        <w:tc>
          <w:tcPr>
            <w:tcW w:w="3192" w:type="dxa"/>
          </w:tcPr>
          <w:p w:rsidR="005B564A" w:rsidRDefault="00175BD9" w:rsidP="00913E32">
            <w:r>
              <w:t>15</w:t>
            </w:r>
          </w:p>
        </w:tc>
        <w:tc>
          <w:tcPr>
            <w:tcW w:w="3192" w:type="dxa"/>
          </w:tcPr>
          <w:p w:rsidR="005B564A" w:rsidRDefault="00F8409D" w:rsidP="006B10AE">
            <w:r>
              <w:t>Fairness in Litigation</w:t>
            </w:r>
          </w:p>
        </w:tc>
        <w:tc>
          <w:tcPr>
            <w:tcW w:w="3192" w:type="dxa"/>
          </w:tcPr>
          <w:p w:rsidR="005B564A" w:rsidRDefault="004C52B2" w:rsidP="000D3072">
            <w:r>
              <w:rPr>
                <w:i/>
              </w:rPr>
              <w:t xml:space="preserve">Problems In Legal Ethics, </w:t>
            </w:r>
            <w:r>
              <w:t>Chapter Nine</w:t>
            </w:r>
            <w:r w:rsidR="00913E32">
              <w:t xml:space="preserve">; </w:t>
            </w:r>
            <w:r w:rsidR="000D3072">
              <w:rPr>
                <w:i/>
              </w:rPr>
              <w:t xml:space="preserve">Regulation of Lawyers, </w:t>
            </w:r>
            <w:r w:rsidR="00913E32">
              <w:t>Model Rules 3.1-3.9, 402-4.4, 8.3(a)</w:t>
            </w:r>
            <w:r w:rsidR="0013232A">
              <w:t xml:space="preserve"> and comment</w:t>
            </w:r>
          </w:p>
        </w:tc>
      </w:tr>
      <w:tr w:rsidR="005B564A" w:rsidTr="00A96D57">
        <w:tc>
          <w:tcPr>
            <w:tcW w:w="3192" w:type="dxa"/>
          </w:tcPr>
          <w:p w:rsidR="005B564A" w:rsidRDefault="00175BD9" w:rsidP="00887D82">
            <w:r>
              <w:t>16</w:t>
            </w:r>
          </w:p>
        </w:tc>
        <w:tc>
          <w:tcPr>
            <w:tcW w:w="3192" w:type="dxa"/>
          </w:tcPr>
          <w:p w:rsidR="005B564A" w:rsidRDefault="00F8409D" w:rsidP="006B10AE">
            <w:r>
              <w:t>Fairness in Litigation</w:t>
            </w:r>
          </w:p>
        </w:tc>
        <w:tc>
          <w:tcPr>
            <w:tcW w:w="3192" w:type="dxa"/>
          </w:tcPr>
          <w:p w:rsidR="005B564A" w:rsidRDefault="00BE788B" w:rsidP="006B10AE">
            <w:r>
              <w:t>Continue Assignment No. 10</w:t>
            </w:r>
          </w:p>
          <w:p w:rsidR="0013232A" w:rsidRDefault="0013232A" w:rsidP="006B10AE"/>
        </w:tc>
      </w:tr>
      <w:tr w:rsidR="00887D82" w:rsidTr="00A96D57">
        <w:tc>
          <w:tcPr>
            <w:tcW w:w="3192" w:type="dxa"/>
          </w:tcPr>
          <w:p w:rsidR="00887D82" w:rsidRDefault="00175BD9" w:rsidP="00887D82">
            <w:r>
              <w:t>17</w:t>
            </w:r>
          </w:p>
        </w:tc>
        <w:tc>
          <w:tcPr>
            <w:tcW w:w="3192" w:type="dxa"/>
          </w:tcPr>
          <w:p w:rsidR="00887D82" w:rsidRDefault="00887D82" w:rsidP="006B10AE">
            <w:r>
              <w:t>Limits on Advocacy</w:t>
            </w:r>
          </w:p>
        </w:tc>
        <w:tc>
          <w:tcPr>
            <w:tcW w:w="3192" w:type="dxa"/>
          </w:tcPr>
          <w:p w:rsidR="00887D82" w:rsidRDefault="00887D82" w:rsidP="006B10AE">
            <w:r>
              <w:rPr>
                <w:i/>
              </w:rPr>
              <w:t xml:space="preserve">Christion v. Mattel, Inc. </w:t>
            </w:r>
            <w:r>
              <w:t>286 F.3d 1118 (9</w:t>
            </w:r>
            <w:r w:rsidRPr="00772A8A">
              <w:rPr>
                <w:vertAlign w:val="superscript"/>
              </w:rPr>
              <w:t>th</w:t>
            </w:r>
            <w:r>
              <w:t xml:space="preserve"> Cir. 2002); </w:t>
            </w:r>
            <w:r w:rsidRPr="00887D82">
              <w:rPr>
                <w:i/>
              </w:rPr>
              <w:t>People v. Belge</w:t>
            </w:r>
            <w:r>
              <w:t xml:space="preserve">, 372 N.Y.S. 2d 798 (S. Ct. 1975); </w:t>
            </w:r>
            <w:r w:rsidRPr="00887D82">
              <w:rPr>
                <w:i/>
              </w:rPr>
              <w:t>In re Forrest</w:t>
            </w:r>
            <w:r>
              <w:t xml:space="preserve">, 730 A.2d 340 (N.J. 1999); </w:t>
            </w:r>
            <w:r w:rsidRPr="00887D82">
              <w:rPr>
                <w:i/>
              </w:rPr>
              <w:t>Matter of  Hendrix</w:t>
            </w:r>
            <w:r>
              <w:t>, 986 F. 2d 195 (7</w:t>
            </w:r>
            <w:r w:rsidRPr="00887D82">
              <w:rPr>
                <w:vertAlign w:val="superscript"/>
              </w:rPr>
              <w:t>th</w:t>
            </w:r>
            <w:r>
              <w:t xml:space="preserve"> Cir. 1993); </w:t>
            </w:r>
            <w:r w:rsidR="000D3072" w:rsidRPr="000D3072">
              <w:rPr>
                <w:i/>
              </w:rPr>
              <w:t>Regulation of Lawyers</w:t>
            </w:r>
            <w:r w:rsidR="000D3072">
              <w:t xml:space="preserve">, </w:t>
            </w:r>
            <w:r>
              <w:t>Model Rules 3.3,3.4, 8.4,</w:t>
            </w:r>
          </w:p>
        </w:tc>
      </w:tr>
      <w:tr w:rsidR="00887D82" w:rsidTr="00A96D57">
        <w:tc>
          <w:tcPr>
            <w:tcW w:w="3192" w:type="dxa"/>
          </w:tcPr>
          <w:p w:rsidR="00887D82" w:rsidRDefault="00887D82" w:rsidP="00887D82">
            <w:r>
              <w:t>Spring  Break</w:t>
            </w:r>
          </w:p>
          <w:p w:rsidR="00887D82" w:rsidRDefault="00887D82" w:rsidP="000D3072">
            <w:r>
              <w:t>March 1</w:t>
            </w:r>
            <w:r w:rsidR="000D3072">
              <w:t>8</w:t>
            </w:r>
            <w:r>
              <w:t>-2</w:t>
            </w:r>
            <w:r w:rsidR="000D3072">
              <w:t>5</w:t>
            </w:r>
          </w:p>
        </w:tc>
        <w:tc>
          <w:tcPr>
            <w:tcW w:w="3192" w:type="dxa"/>
          </w:tcPr>
          <w:p w:rsidR="00887D82" w:rsidRDefault="00887D82" w:rsidP="006B10AE"/>
        </w:tc>
        <w:tc>
          <w:tcPr>
            <w:tcW w:w="3192" w:type="dxa"/>
          </w:tcPr>
          <w:p w:rsidR="00887D82" w:rsidRDefault="00887D82" w:rsidP="006B10AE"/>
        </w:tc>
      </w:tr>
      <w:tr w:rsidR="005B564A" w:rsidTr="00A96D57">
        <w:tc>
          <w:tcPr>
            <w:tcW w:w="3192" w:type="dxa"/>
          </w:tcPr>
          <w:p w:rsidR="005B564A" w:rsidRDefault="00175BD9" w:rsidP="00887D82">
            <w:r>
              <w:t>18</w:t>
            </w:r>
          </w:p>
        </w:tc>
        <w:tc>
          <w:tcPr>
            <w:tcW w:w="3192" w:type="dxa"/>
          </w:tcPr>
          <w:p w:rsidR="005B564A" w:rsidRDefault="00F8409D" w:rsidP="006B10AE">
            <w:r>
              <w:t>Conflicts of Interest- Lawyers, Clients and Third Parties</w:t>
            </w:r>
          </w:p>
        </w:tc>
        <w:tc>
          <w:tcPr>
            <w:tcW w:w="3192" w:type="dxa"/>
          </w:tcPr>
          <w:p w:rsidR="005B564A" w:rsidRDefault="004C52B2" w:rsidP="000D3072">
            <w:r>
              <w:rPr>
                <w:i/>
              </w:rPr>
              <w:t xml:space="preserve">Problems In Legal Ethics, </w:t>
            </w:r>
            <w:r>
              <w:t>Chapter Eleven</w:t>
            </w:r>
            <w:r w:rsidR="008805A1">
              <w:t xml:space="preserve">;  </w:t>
            </w:r>
            <w:r w:rsidR="000D3072">
              <w:rPr>
                <w:i/>
              </w:rPr>
              <w:t xml:space="preserve">Regulation of Lawyers, </w:t>
            </w:r>
            <w:r w:rsidR="008805A1">
              <w:t xml:space="preserve">Model Rules 1.2, 1.7, 1.8, 1.10, 1.13, 1.14, 1.18, 2.1, 3.7, 5.4(c) </w:t>
            </w:r>
          </w:p>
        </w:tc>
      </w:tr>
      <w:tr w:rsidR="005B564A" w:rsidTr="00E12ABA">
        <w:trPr>
          <w:trHeight w:val="827"/>
        </w:trPr>
        <w:tc>
          <w:tcPr>
            <w:tcW w:w="3192" w:type="dxa"/>
          </w:tcPr>
          <w:p w:rsidR="005B564A" w:rsidRDefault="00175BD9" w:rsidP="00887D82">
            <w:r>
              <w:t>19</w:t>
            </w:r>
          </w:p>
        </w:tc>
        <w:tc>
          <w:tcPr>
            <w:tcW w:w="3192" w:type="dxa"/>
          </w:tcPr>
          <w:p w:rsidR="005B564A" w:rsidRDefault="00F8409D" w:rsidP="006B10AE">
            <w:r>
              <w:t>Conflicts of Interest- Lawyers, Clients and Third Parties</w:t>
            </w:r>
          </w:p>
        </w:tc>
        <w:tc>
          <w:tcPr>
            <w:tcW w:w="3192" w:type="dxa"/>
          </w:tcPr>
          <w:p w:rsidR="005B564A" w:rsidRDefault="00CB3AC2" w:rsidP="006B10AE">
            <w:r>
              <w:t>Continue Assignment No. 18</w:t>
            </w:r>
          </w:p>
        </w:tc>
      </w:tr>
      <w:tr w:rsidR="005B564A" w:rsidTr="00A96D57">
        <w:tc>
          <w:tcPr>
            <w:tcW w:w="3192" w:type="dxa"/>
          </w:tcPr>
          <w:p w:rsidR="005B564A" w:rsidRDefault="00175BD9" w:rsidP="00887D82">
            <w:r>
              <w:t>20</w:t>
            </w:r>
          </w:p>
          <w:p w:rsidR="00175BD9" w:rsidRDefault="00175BD9" w:rsidP="00887D82"/>
        </w:tc>
        <w:tc>
          <w:tcPr>
            <w:tcW w:w="3192" w:type="dxa"/>
          </w:tcPr>
          <w:p w:rsidR="005B564A" w:rsidRDefault="00F8409D" w:rsidP="006B10AE">
            <w:r>
              <w:t>Conflicts of Interest- Conflicts Between Two Clients</w:t>
            </w:r>
          </w:p>
        </w:tc>
        <w:tc>
          <w:tcPr>
            <w:tcW w:w="3192" w:type="dxa"/>
          </w:tcPr>
          <w:p w:rsidR="005B564A" w:rsidRDefault="004C52B2" w:rsidP="00CB3AC2">
            <w:r>
              <w:rPr>
                <w:i/>
              </w:rPr>
              <w:t xml:space="preserve">Problems In Legal Ethics, </w:t>
            </w:r>
            <w:r>
              <w:t>Chapter Twelve,</w:t>
            </w:r>
            <w:r w:rsidR="00CB3AC2">
              <w:rPr>
                <w:i/>
              </w:rPr>
              <w:t xml:space="preserve"> Regulation of Lawyers, </w:t>
            </w:r>
            <w:r w:rsidR="00BE788B">
              <w:t>Model Rules1.6, 1.8(b),(g) ,an</w:t>
            </w:r>
            <w:r w:rsidR="00CB3AC2">
              <w:t>d  (i) 1.9-1.12, 6.3 and comment</w:t>
            </w:r>
          </w:p>
        </w:tc>
      </w:tr>
      <w:tr w:rsidR="005B564A" w:rsidTr="002B41C2">
        <w:trPr>
          <w:trHeight w:val="432"/>
        </w:trPr>
        <w:tc>
          <w:tcPr>
            <w:tcW w:w="3192" w:type="dxa"/>
          </w:tcPr>
          <w:p w:rsidR="005B564A" w:rsidRDefault="00175BD9" w:rsidP="00887D82">
            <w:r>
              <w:t>21</w:t>
            </w:r>
          </w:p>
        </w:tc>
        <w:tc>
          <w:tcPr>
            <w:tcW w:w="3192" w:type="dxa"/>
          </w:tcPr>
          <w:p w:rsidR="005B564A" w:rsidRDefault="002B41C2" w:rsidP="006B10AE">
            <w:r>
              <w:t xml:space="preserve">Conflicts of Interest </w:t>
            </w:r>
            <w:r w:rsidR="00F8409D">
              <w:t xml:space="preserve">Between Two </w:t>
            </w:r>
            <w:r>
              <w:t>Clients</w:t>
            </w:r>
          </w:p>
        </w:tc>
        <w:tc>
          <w:tcPr>
            <w:tcW w:w="3192" w:type="dxa"/>
          </w:tcPr>
          <w:p w:rsidR="005C2909" w:rsidRDefault="009909E2" w:rsidP="00BE788B">
            <w:r>
              <w:t xml:space="preserve">Continue </w:t>
            </w:r>
            <w:r w:rsidR="00BE788B">
              <w:t>Assignment No. 20</w:t>
            </w:r>
          </w:p>
        </w:tc>
      </w:tr>
      <w:tr w:rsidR="005B564A" w:rsidTr="00A96D57">
        <w:tc>
          <w:tcPr>
            <w:tcW w:w="3192" w:type="dxa"/>
          </w:tcPr>
          <w:p w:rsidR="001344BF" w:rsidRDefault="00175BD9" w:rsidP="00887D82">
            <w:r>
              <w:t>22</w:t>
            </w:r>
          </w:p>
        </w:tc>
        <w:tc>
          <w:tcPr>
            <w:tcW w:w="3192" w:type="dxa"/>
          </w:tcPr>
          <w:p w:rsidR="005B564A" w:rsidRDefault="00F8409D" w:rsidP="006B10AE">
            <w:r>
              <w:t>Lawyers in Law Firms &amp;</w:t>
            </w:r>
            <w:r w:rsidR="00CB3AC2">
              <w:t xml:space="preserve"> </w:t>
            </w:r>
            <w:r>
              <w:t>Specialized Practice Areas</w:t>
            </w:r>
          </w:p>
        </w:tc>
        <w:tc>
          <w:tcPr>
            <w:tcW w:w="3192" w:type="dxa"/>
          </w:tcPr>
          <w:p w:rsidR="005B564A" w:rsidRDefault="004C52B2" w:rsidP="00CB3AC2">
            <w:r>
              <w:rPr>
                <w:i/>
              </w:rPr>
              <w:t xml:space="preserve">Problems In Legal Ethics, </w:t>
            </w:r>
            <w:r>
              <w:t>Chapter Thirteen</w:t>
            </w:r>
            <w:r w:rsidR="00CB3AC2">
              <w:t xml:space="preserve">; </w:t>
            </w:r>
            <w:r w:rsidR="00CB3AC2" w:rsidRPr="00CE7695">
              <w:rPr>
                <w:i/>
              </w:rPr>
              <w:t>Regulation of Lawyers</w:t>
            </w:r>
            <w:r w:rsidR="00CB3AC2">
              <w:t xml:space="preserve">, </w:t>
            </w:r>
            <w:r w:rsidR="009909E2">
              <w:t>Model Rules 1.0</w:t>
            </w:r>
            <w:r w:rsidR="00CB3AC2">
              <w:t>©</w:t>
            </w:r>
            <w:r w:rsidR="009909E2">
              <w:t>, 1.10, 1.17, 201, 2.3</w:t>
            </w:r>
            <w:r w:rsidR="004E63EF">
              <w:t>, 2.4, 5.1</w:t>
            </w:r>
          </w:p>
        </w:tc>
      </w:tr>
      <w:tr w:rsidR="005B564A" w:rsidTr="004E63EF">
        <w:trPr>
          <w:trHeight w:val="720"/>
        </w:trPr>
        <w:tc>
          <w:tcPr>
            <w:tcW w:w="3192" w:type="dxa"/>
          </w:tcPr>
          <w:p w:rsidR="005B564A" w:rsidRDefault="00175BD9" w:rsidP="00887D82">
            <w:r>
              <w:t>23</w:t>
            </w:r>
          </w:p>
        </w:tc>
        <w:tc>
          <w:tcPr>
            <w:tcW w:w="3192" w:type="dxa"/>
          </w:tcPr>
          <w:p w:rsidR="005B564A" w:rsidRDefault="00F8409D" w:rsidP="006B10AE">
            <w:r>
              <w:t>Judicial Conduct</w:t>
            </w:r>
          </w:p>
        </w:tc>
        <w:tc>
          <w:tcPr>
            <w:tcW w:w="3192" w:type="dxa"/>
          </w:tcPr>
          <w:p w:rsidR="004E63EF" w:rsidRDefault="004C52B2" w:rsidP="004E63EF">
            <w:r>
              <w:rPr>
                <w:i/>
              </w:rPr>
              <w:t xml:space="preserve">Problems In Legal Ethics, </w:t>
            </w:r>
            <w:r>
              <w:t xml:space="preserve">Chapter </w:t>
            </w:r>
            <w:r w:rsidR="004E63EF">
              <w:t xml:space="preserve"> 14; Model Rules 1.12, 3.5, 8.3(b) 8.4(f)</w:t>
            </w:r>
          </w:p>
        </w:tc>
      </w:tr>
      <w:tr w:rsidR="005B564A" w:rsidTr="00A96D57">
        <w:tc>
          <w:tcPr>
            <w:tcW w:w="3192" w:type="dxa"/>
          </w:tcPr>
          <w:p w:rsidR="005B564A" w:rsidRDefault="00175BD9" w:rsidP="00887D82">
            <w:r>
              <w:t>24</w:t>
            </w:r>
          </w:p>
        </w:tc>
        <w:tc>
          <w:tcPr>
            <w:tcW w:w="3192" w:type="dxa"/>
          </w:tcPr>
          <w:p w:rsidR="005B564A" w:rsidRDefault="00CB3AC2" w:rsidP="00CB3AC2">
            <w:r>
              <w:t>Bias In and Out of the Courtroom</w:t>
            </w:r>
          </w:p>
        </w:tc>
        <w:tc>
          <w:tcPr>
            <w:tcW w:w="3192" w:type="dxa"/>
          </w:tcPr>
          <w:p w:rsidR="005B564A" w:rsidRDefault="00CB3AC2" w:rsidP="008D0413">
            <w:r w:rsidRPr="00CB3AC2">
              <w:rPr>
                <w:i/>
              </w:rPr>
              <w:t>Problems In Legal Ethics,</w:t>
            </w:r>
            <w:r>
              <w:t xml:space="preserve"> Chapter </w:t>
            </w:r>
            <w:r>
              <w:lastRenderedPageBreak/>
              <w:t xml:space="preserve">Ten; </w:t>
            </w:r>
            <w:r w:rsidRPr="00CB3AC2">
              <w:rPr>
                <w:i/>
              </w:rPr>
              <w:t>Regulation of Lawyers</w:t>
            </w:r>
            <w:r>
              <w:t>, Model Rule 8.4(g); Maryland Rule 19-308.4(</w:t>
            </w:r>
            <w:r w:rsidR="008D0413">
              <w:t>e</w:t>
            </w:r>
            <w:r>
              <w:t>)</w:t>
            </w:r>
          </w:p>
        </w:tc>
      </w:tr>
      <w:tr w:rsidR="00AD5DB7" w:rsidTr="00A96D57">
        <w:tc>
          <w:tcPr>
            <w:tcW w:w="3192" w:type="dxa"/>
          </w:tcPr>
          <w:p w:rsidR="00AD5DB7" w:rsidRDefault="00175BD9" w:rsidP="00887D82">
            <w:r>
              <w:lastRenderedPageBreak/>
              <w:t>25</w:t>
            </w:r>
          </w:p>
        </w:tc>
        <w:tc>
          <w:tcPr>
            <w:tcW w:w="3192" w:type="dxa"/>
          </w:tcPr>
          <w:p w:rsidR="00AD5DB7" w:rsidRDefault="00CB3AC2" w:rsidP="006B10AE">
            <w:r>
              <w:t>TBA</w:t>
            </w:r>
          </w:p>
        </w:tc>
        <w:tc>
          <w:tcPr>
            <w:tcW w:w="3192" w:type="dxa"/>
          </w:tcPr>
          <w:p w:rsidR="00AD5DB7" w:rsidRDefault="00AD5DB7" w:rsidP="00AD5DB7"/>
        </w:tc>
      </w:tr>
      <w:tr w:rsidR="00AD5DB7" w:rsidTr="00A96D57">
        <w:tc>
          <w:tcPr>
            <w:tcW w:w="3192" w:type="dxa"/>
          </w:tcPr>
          <w:p w:rsidR="00AD5DB7" w:rsidRDefault="00175BD9" w:rsidP="00887D82">
            <w:r>
              <w:t>26</w:t>
            </w:r>
          </w:p>
        </w:tc>
        <w:tc>
          <w:tcPr>
            <w:tcW w:w="3192" w:type="dxa"/>
          </w:tcPr>
          <w:p w:rsidR="00AD5DB7" w:rsidRDefault="008D0413" w:rsidP="006B10AE">
            <w:r>
              <w:t>Review</w:t>
            </w:r>
          </w:p>
        </w:tc>
        <w:tc>
          <w:tcPr>
            <w:tcW w:w="3192" w:type="dxa"/>
          </w:tcPr>
          <w:p w:rsidR="00AD5DB7" w:rsidRDefault="00AD5DB7" w:rsidP="00AD5DB7"/>
        </w:tc>
      </w:tr>
      <w:tr w:rsidR="00AD5DB7" w:rsidTr="00A96D57">
        <w:tc>
          <w:tcPr>
            <w:tcW w:w="3192" w:type="dxa"/>
          </w:tcPr>
          <w:p w:rsidR="00AD5DB7" w:rsidRDefault="00AD5DB7" w:rsidP="00887D82"/>
        </w:tc>
        <w:tc>
          <w:tcPr>
            <w:tcW w:w="3192" w:type="dxa"/>
          </w:tcPr>
          <w:p w:rsidR="00AD5DB7" w:rsidRDefault="00AD5DB7" w:rsidP="006B10AE"/>
        </w:tc>
        <w:tc>
          <w:tcPr>
            <w:tcW w:w="3192" w:type="dxa"/>
          </w:tcPr>
          <w:p w:rsidR="00AD5DB7" w:rsidRDefault="00AD5DB7" w:rsidP="00AD5DB7"/>
        </w:tc>
      </w:tr>
    </w:tbl>
    <w:p w:rsidR="00163820" w:rsidRPr="00A96D57" w:rsidRDefault="00163820" w:rsidP="006B10AE"/>
    <w:sectPr w:rsidR="00163820" w:rsidRPr="00A96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5F" w:rsidRDefault="0057355F" w:rsidP="00E81EBC">
      <w:r>
        <w:separator/>
      </w:r>
    </w:p>
  </w:endnote>
  <w:endnote w:type="continuationSeparator" w:id="0">
    <w:p w:rsidR="0057355F" w:rsidRDefault="0057355F" w:rsidP="00E8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5F" w:rsidRDefault="0057355F" w:rsidP="00E81EBC">
      <w:r>
        <w:separator/>
      </w:r>
    </w:p>
  </w:footnote>
  <w:footnote w:type="continuationSeparator" w:id="0">
    <w:p w:rsidR="0057355F" w:rsidRDefault="0057355F" w:rsidP="00E81EBC">
      <w:r>
        <w:continuationSeparator/>
      </w:r>
    </w:p>
  </w:footnote>
  <w:footnote w:id="1">
    <w:p w:rsidR="00175BD9" w:rsidRDefault="00175BD9">
      <w:pPr>
        <w:pStyle w:val="FootnoteText"/>
      </w:pPr>
      <w:r>
        <w:rPr>
          <w:rStyle w:val="FootnoteReference"/>
        </w:rPr>
        <w:footnoteRef/>
      </w:r>
      <w:r>
        <w:t xml:space="preserve"> The </w:t>
      </w:r>
      <w:r w:rsidR="00B01086">
        <w:t>Assignment Number</w:t>
      </w:r>
      <w:r>
        <w:t xml:space="preserve"> does not correspond to a particular date, since it is difficult to say in advance how quickly we will progress through the materials.</w:t>
      </w:r>
      <w:r w:rsidR="00F952F2">
        <w:t xml:space="preserve">  I will announce in advance the Assignment Number for each class</w:t>
      </w:r>
      <w:r w:rsidR="00655FB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851"/>
    <w:multiLevelType w:val="hybridMultilevel"/>
    <w:tmpl w:val="BF3CD52E"/>
    <w:lvl w:ilvl="0" w:tplc="0AB87A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AE"/>
    <w:rsid w:val="00024FF3"/>
    <w:rsid w:val="00073931"/>
    <w:rsid w:val="0007770E"/>
    <w:rsid w:val="000C7703"/>
    <w:rsid w:val="000D1378"/>
    <w:rsid w:val="000D3072"/>
    <w:rsid w:val="00121D53"/>
    <w:rsid w:val="0013232A"/>
    <w:rsid w:val="001344BF"/>
    <w:rsid w:val="00153A81"/>
    <w:rsid w:val="00163820"/>
    <w:rsid w:val="001661E8"/>
    <w:rsid w:val="00167C7C"/>
    <w:rsid w:val="00175BD9"/>
    <w:rsid w:val="001B5BAA"/>
    <w:rsid w:val="001C1214"/>
    <w:rsid w:val="001C2B96"/>
    <w:rsid w:val="001F2AE5"/>
    <w:rsid w:val="00203303"/>
    <w:rsid w:val="002102DF"/>
    <w:rsid w:val="00243477"/>
    <w:rsid w:val="002524AF"/>
    <w:rsid w:val="00262BB7"/>
    <w:rsid w:val="0026347F"/>
    <w:rsid w:val="00296602"/>
    <w:rsid w:val="002B41C2"/>
    <w:rsid w:val="002C6854"/>
    <w:rsid w:val="002E53AF"/>
    <w:rsid w:val="00386884"/>
    <w:rsid w:val="003C4ED8"/>
    <w:rsid w:val="00421EF2"/>
    <w:rsid w:val="004A4FA0"/>
    <w:rsid w:val="004C52B2"/>
    <w:rsid w:val="004D6707"/>
    <w:rsid w:val="004E63EF"/>
    <w:rsid w:val="004F3CB1"/>
    <w:rsid w:val="0051387B"/>
    <w:rsid w:val="005450D1"/>
    <w:rsid w:val="0055301A"/>
    <w:rsid w:val="0055431F"/>
    <w:rsid w:val="00567D37"/>
    <w:rsid w:val="0057355F"/>
    <w:rsid w:val="00583E64"/>
    <w:rsid w:val="0059582B"/>
    <w:rsid w:val="005B564A"/>
    <w:rsid w:val="005C2909"/>
    <w:rsid w:val="005D4694"/>
    <w:rsid w:val="005E435F"/>
    <w:rsid w:val="005F0C81"/>
    <w:rsid w:val="0061495F"/>
    <w:rsid w:val="006164FF"/>
    <w:rsid w:val="00655FBF"/>
    <w:rsid w:val="006B10AE"/>
    <w:rsid w:val="006B4C78"/>
    <w:rsid w:val="006E7648"/>
    <w:rsid w:val="00712BB3"/>
    <w:rsid w:val="00715FB1"/>
    <w:rsid w:val="00734AF3"/>
    <w:rsid w:val="00750659"/>
    <w:rsid w:val="00772A8A"/>
    <w:rsid w:val="007D15C9"/>
    <w:rsid w:val="00807FB8"/>
    <w:rsid w:val="00824194"/>
    <w:rsid w:val="00834AC6"/>
    <w:rsid w:val="00841E74"/>
    <w:rsid w:val="008805A1"/>
    <w:rsid w:val="00887D82"/>
    <w:rsid w:val="008D0413"/>
    <w:rsid w:val="008E7623"/>
    <w:rsid w:val="00904A7A"/>
    <w:rsid w:val="00913E32"/>
    <w:rsid w:val="0093044E"/>
    <w:rsid w:val="0093398C"/>
    <w:rsid w:val="00936F44"/>
    <w:rsid w:val="00962567"/>
    <w:rsid w:val="009909E2"/>
    <w:rsid w:val="009C0274"/>
    <w:rsid w:val="009E4203"/>
    <w:rsid w:val="00A01A05"/>
    <w:rsid w:val="00A2207A"/>
    <w:rsid w:val="00A30E34"/>
    <w:rsid w:val="00A3246B"/>
    <w:rsid w:val="00A74234"/>
    <w:rsid w:val="00A931DB"/>
    <w:rsid w:val="00A96D57"/>
    <w:rsid w:val="00AD5DB7"/>
    <w:rsid w:val="00B01086"/>
    <w:rsid w:val="00B05977"/>
    <w:rsid w:val="00B17117"/>
    <w:rsid w:val="00B33F25"/>
    <w:rsid w:val="00B37022"/>
    <w:rsid w:val="00B73538"/>
    <w:rsid w:val="00B73EFC"/>
    <w:rsid w:val="00B772B4"/>
    <w:rsid w:val="00BB0D24"/>
    <w:rsid w:val="00BB384B"/>
    <w:rsid w:val="00BE788B"/>
    <w:rsid w:val="00C455C1"/>
    <w:rsid w:val="00C64F9C"/>
    <w:rsid w:val="00C9304A"/>
    <w:rsid w:val="00C97B51"/>
    <w:rsid w:val="00CB3AC2"/>
    <w:rsid w:val="00CE415E"/>
    <w:rsid w:val="00CE7695"/>
    <w:rsid w:val="00D17BD7"/>
    <w:rsid w:val="00D63EBF"/>
    <w:rsid w:val="00E12ABA"/>
    <w:rsid w:val="00E455CE"/>
    <w:rsid w:val="00E7114F"/>
    <w:rsid w:val="00E81EBC"/>
    <w:rsid w:val="00E82222"/>
    <w:rsid w:val="00ED24CE"/>
    <w:rsid w:val="00F2629B"/>
    <w:rsid w:val="00F8005E"/>
    <w:rsid w:val="00F8409D"/>
    <w:rsid w:val="00F90D57"/>
    <w:rsid w:val="00F952F2"/>
    <w:rsid w:val="00FD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672"/>
  <w15:docId w15:val="{6F097C44-89E3-4F2D-BDD5-9F810CD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AE"/>
    <w:pPr>
      <w:widowControl w:val="0"/>
      <w:overflowPunct w:val="0"/>
      <w:autoSpaceDE w:val="0"/>
      <w:autoSpaceDN w:val="0"/>
      <w:adjustRightInd w:val="0"/>
      <w:spacing w:after="0" w:line="240" w:lineRule="auto"/>
    </w:pPr>
    <w:rPr>
      <w:rFonts w:ascii="Times New Roman" w:eastAsia="SimSun" w:hAnsi="Times New Roman" w:cs="Times New Roman"/>
      <w:kern w:val="28"/>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10AE"/>
    <w:rPr>
      <w:color w:val="0000FF"/>
      <w:u w:val="single"/>
    </w:rPr>
  </w:style>
  <w:style w:type="table" w:styleId="TableGrid">
    <w:name w:val="Table Grid"/>
    <w:basedOn w:val="TableNormal"/>
    <w:uiPriority w:val="59"/>
    <w:rsid w:val="00A9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1EBC"/>
  </w:style>
  <w:style w:type="character" w:customStyle="1" w:styleId="FootnoteTextChar">
    <w:name w:val="Footnote Text Char"/>
    <w:basedOn w:val="DefaultParagraphFont"/>
    <w:link w:val="FootnoteText"/>
    <w:uiPriority w:val="99"/>
    <w:semiHidden/>
    <w:rsid w:val="00E81EBC"/>
    <w:rPr>
      <w:rFonts w:ascii="Times New Roman" w:eastAsia="SimSun" w:hAnsi="Times New Roman" w:cs="Times New Roman"/>
      <w:kern w:val="28"/>
      <w:sz w:val="20"/>
      <w:szCs w:val="20"/>
      <w:lang w:eastAsia="zh-CN"/>
    </w:rPr>
  </w:style>
  <w:style w:type="character" w:styleId="FootnoteReference">
    <w:name w:val="footnote reference"/>
    <w:basedOn w:val="DefaultParagraphFont"/>
    <w:uiPriority w:val="99"/>
    <w:semiHidden/>
    <w:unhideWhenUsed/>
    <w:rsid w:val="00E81EBC"/>
    <w:rPr>
      <w:vertAlign w:val="superscript"/>
    </w:rPr>
  </w:style>
  <w:style w:type="paragraph" w:customStyle="1" w:styleId="Default">
    <w:name w:val="Default"/>
    <w:rsid w:val="00B0108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94382">
      <w:bodyDiv w:val="1"/>
      <w:marLeft w:val="0"/>
      <w:marRight w:val="0"/>
      <w:marTop w:val="0"/>
      <w:marBottom w:val="0"/>
      <w:divBdr>
        <w:top w:val="none" w:sz="0" w:space="0" w:color="auto"/>
        <w:left w:val="none" w:sz="0" w:space="0" w:color="auto"/>
        <w:bottom w:val="none" w:sz="0" w:space="0" w:color="auto"/>
        <w:right w:val="none" w:sz="0" w:space="0" w:color="auto"/>
      </w:divBdr>
    </w:div>
    <w:div w:id="18875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ubalt.edu/academics/policiesand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etzger@ubalt.edu" TargetMode="External"/><Relationship Id="rId5" Type="http://schemas.openxmlformats.org/officeDocument/2006/relationships/webSettings" Target="webSettings.xml"/><Relationship Id="rId10" Type="http://schemas.openxmlformats.org/officeDocument/2006/relationships/hyperlink" Target="http://www.ubalt.edu/titleix" TargetMode="External"/><Relationship Id="rId4" Type="http://schemas.openxmlformats.org/officeDocument/2006/relationships/settings" Target="settings.xml"/><Relationship Id="rId9" Type="http://schemas.openxmlformats.org/officeDocument/2006/relationships/hyperlink" Target="http://law.ubalt.edu/academics/policiesandprocedures/honor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B73A-2D0F-4BD4-A555-04099019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Melton</dc:creator>
  <cp:lastModifiedBy>Katie Rolfes</cp:lastModifiedBy>
  <cp:revision>3</cp:revision>
  <dcterms:created xsi:type="dcterms:W3CDTF">2017-12-04T15:53:00Z</dcterms:created>
  <dcterms:modified xsi:type="dcterms:W3CDTF">2017-12-04T19:09:00Z</dcterms:modified>
</cp:coreProperties>
</file>